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76" w:lineRule="auto"/>
        <w:jc w:val="center"/>
        <w:rPr>
          <w:rFonts w:hint="eastAsia" w:ascii="宋体" w:hAnsi="宋体"/>
          <w:color w:val="auto"/>
          <w:sz w:val="32"/>
          <w:szCs w:val="32"/>
        </w:rPr>
      </w:pPr>
      <w:bookmarkStart w:id="0" w:name="_Toc13541"/>
      <w:bookmarkStart w:id="6" w:name="_GoBack"/>
      <w:bookmarkEnd w:id="6"/>
      <w:r>
        <w:rPr>
          <w:rFonts w:hint="eastAsia" w:ascii="宋体" w:hAnsi="宋体"/>
          <w:color w:val="auto"/>
          <w:sz w:val="32"/>
          <w:szCs w:val="32"/>
        </w:rPr>
        <w:t>采购需求</w:t>
      </w:r>
      <w:bookmarkEnd w:id="0"/>
    </w:p>
    <w:p>
      <w:pPr>
        <w:spacing w:line="276" w:lineRule="auto"/>
        <w:ind w:right="-502" w:rightChars="-157" w:firstLine="482" w:firstLineChars="200"/>
        <w:rPr>
          <w:rFonts w:ascii="仿宋_GB2312" w:eastAsia="仿宋_GB2312"/>
          <w:b/>
          <w:bCs/>
          <w:color w:val="auto"/>
          <w:sz w:val="24"/>
        </w:rPr>
      </w:pPr>
      <w:bookmarkStart w:id="1" w:name="_Hlk50569056"/>
      <w:r>
        <w:rPr>
          <w:rFonts w:hint="eastAsia" w:ascii="仿宋_GB2312" w:eastAsia="仿宋_GB2312"/>
          <w:b/>
          <w:bCs/>
          <w:color w:val="auto"/>
          <w:sz w:val="24"/>
        </w:rPr>
        <w:t>说明：</w:t>
      </w:r>
    </w:p>
    <w:bookmarkEnd w:id="1"/>
    <w:p>
      <w:pPr>
        <w:spacing w:line="380" w:lineRule="exact"/>
        <w:ind w:right="-502" w:rightChars="-157" w:firstLine="482" w:firstLineChars="200"/>
        <w:rPr>
          <w:rFonts w:ascii="仿宋_GB2312" w:eastAsia="仿宋_GB2312"/>
          <w:b/>
          <w:bCs/>
          <w:color w:val="auto"/>
          <w:sz w:val="24"/>
        </w:rPr>
      </w:pPr>
      <w:bookmarkStart w:id="2" w:name="_Hlk93675025"/>
      <w:r>
        <w:rPr>
          <w:rFonts w:hint="eastAsia" w:ascii="仿宋_GB2312" w:eastAsia="仿宋_GB2312"/>
          <w:b/>
          <w:bCs/>
          <w:color w:val="auto"/>
          <w:sz w:val="24"/>
        </w:rPr>
        <w:t>（一）本一览表中的品牌、型号仅起参考作用，</w:t>
      </w:r>
      <w:r>
        <w:rPr>
          <w:rFonts w:hint="eastAsia" w:ascii="仿宋_GB2312"/>
          <w:b/>
          <w:bCs/>
          <w:color w:val="auto"/>
          <w:sz w:val="24"/>
          <w:lang w:eastAsia="zh-CN"/>
        </w:rPr>
        <w:t>供应商</w:t>
      </w:r>
      <w:r>
        <w:rPr>
          <w:rFonts w:hint="eastAsia" w:ascii="仿宋_GB2312" w:eastAsia="仿宋_GB2312"/>
          <w:b/>
          <w:bCs/>
          <w:color w:val="auto"/>
          <w:sz w:val="24"/>
        </w:rPr>
        <w:t>可选用其他品牌型号替代，但这些替代的产品要实质上满足或优于参考品牌、型号及其技术参数性能（配置）要求。</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（二）本一览表中参考品牌、型号及技术参数性能（配置）不明确或有误的，或</w:t>
      </w:r>
      <w:r>
        <w:rPr>
          <w:rFonts w:hint="eastAsia" w:ascii="仿宋_GB2312"/>
          <w:b/>
          <w:bCs/>
          <w:color w:val="auto"/>
          <w:sz w:val="24"/>
          <w:lang w:eastAsia="zh-CN"/>
        </w:rPr>
        <w:t>供应商</w:t>
      </w:r>
      <w:r>
        <w:rPr>
          <w:rFonts w:hint="eastAsia" w:ascii="仿宋_GB2312" w:eastAsia="仿宋_GB2312"/>
          <w:b/>
          <w:bCs/>
          <w:color w:val="auto"/>
          <w:sz w:val="24"/>
        </w:rPr>
        <w:t>选用其他品牌型号替代的，请说明品牌型号和详细、正确的技术参数性能（配置）同时填写投标报价明细表和技术响应表。</w:t>
      </w:r>
    </w:p>
    <w:p>
      <w:pPr>
        <w:spacing w:line="380" w:lineRule="exact"/>
        <w:ind w:right="-502" w:rightChars="-157" w:firstLine="482" w:firstLineChars="200"/>
        <w:rPr>
          <w:rFonts w:ascii="仿宋_GB2312" w:eastAsia="仿宋_GB2312"/>
          <w:b/>
          <w:bCs/>
          <w:color w:val="auto"/>
          <w:sz w:val="24"/>
        </w:rPr>
      </w:pPr>
      <w:r>
        <w:rPr>
          <w:rFonts w:ascii="仿宋_GB2312" w:eastAsia="仿宋_GB2312"/>
          <w:b/>
          <w:bCs/>
          <w:color w:val="auto"/>
          <w:sz w:val="24"/>
        </w:rPr>
        <w:t>（三）标记“★”符号的为实质性响应内容，该内容仅限于“第二章 采购需求”，评审时</w:t>
      </w:r>
      <w:r>
        <w:rPr>
          <w:rFonts w:hint="eastAsia" w:ascii="仿宋_GB2312"/>
          <w:b/>
          <w:bCs/>
          <w:color w:val="auto"/>
          <w:sz w:val="24"/>
          <w:lang w:eastAsia="zh-CN"/>
        </w:rPr>
        <w:t>供应商</w:t>
      </w:r>
      <w:r>
        <w:rPr>
          <w:rFonts w:ascii="仿宋_GB2312" w:eastAsia="仿宋_GB2312"/>
          <w:b/>
          <w:bCs/>
          <w:color w:val="auto"/>
          <w:sz w:val="24"/>
        </w:rPr>
        <w:t>的响应内容发生负偏离一项以上的，视为投标无效。关于“项数”的规定，凡标有最低一级序号的指标项即为一项技术条款，无论是否隶属于上一级编号</w:t>
      </w:r>
      <w:r>
        <w:rPr>
          <w:rFonts w:hint="eastAsia" w:ascii="仿宋_GB2312" w:eastAsia="仿宋_GB2312"/>
          <w:b/>
          <w:bCs/>
          <w:color w:val="auto"/>
          <w:sz w:val="24"/>
        </w:rPr>
        <w:t>（有特殊情况说明的除外）</w:t>
      </w:r>
      <w:r>
        <w:rPr>
          <w:rFonts w:ascii="仿宋_GB2312" w:eastAsia="仿宋_GB2312"/>
          <w:b/>
          <w:bCs/>
          <w:color w:val="auto"/>
          <w:sz w:val="24"/>
        </w:rPr>
        <w:t>。</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w:t>
      </w:r>
      <w:r>
        <w:rPr>
          <w:rFonts w:hint="eastAsia" w:ascii="仿宋_GB2312"/>
          <w:b/>
          <w:bCs/>
          <w:color w:val="auto"/>
          <w:sz w:val="24"/>
          <w:lang w:eastAsia="zh-CN"/>
        </w:rPr>
        <w:t>供应商</w:t>
      </w:r>
      <w:r>
        <w:rPr>
          <w:rFonts w:hint="eastAsia" w:ascii="仿宋_GB2312" w:eastAsia="仿宋_GB2312"/>
          <w:b/>
          <w:bCs/>
          <w:color w:val="auto"/>
          <w:sz w:val="24"/>
        </w:rPr>
        <w:t>提供虚假材料、串通等违法违规行为的，要及时向采购人或采购代理机构报告。</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（五）提供相同品牌产品且通过资格审查、符合性审查的不同</w:t>
      </w:r>
      <w:r>
        <w:rPr>
          <w:rFonts w:hint="eastAsia" w:ascii="仿宋_GB2312"/>
          <w:b/>
          <w:bCs/>
          <w:color w:val="auto"/>
          <w:sz w:val="24"/>
          <w:lang w:eastAsia="zh-CN"/>
        </w:rPr>
        <w:t>供应商</w:t>
      </w:r>
      <w:r>
        <w:rPr>
          <w:rFonts w:hint="eastAsia" w:ascii="仿宋_GB2312" w:eastAsia="仿宋_GB2312"/>
          <w:b/>
          <w:bCs/>
          <w:color w:val="auto"/>
          <w:sz w:val="24"/>
        </w:rPr>
        <w:t>参加同一合同项下的投标，按一家</w:t>
      </w:r>
      <w:r>
        <w:rPr>
          <w:rFonts w:hint="eastAsia" w:ascii="仿宋_GB2312"/>
          <w:b/>
          <w:bCs/>
          <w:color w:val="auto"/>
          <w:sz w:val="24"/>
          <w:lang w:eastAsia="zh-CN"/>
        </w:rPr>
        <w:t>供应商</w:t>
      </w:r>
      <w:r>
        <w:rPr>
          <w:rFonts w:hint="eastAsia" w:ascii="仿宋_GB2312" w:eastAsia="仿宋_GB2312"/>
          <w:b/>
          <w:bCs/>
          <w:color w:val="auto"/>
          <w:sz w:val="24"/>
        </w:rPr>
        <w:t>计算，评审后得分最高的同品牌</w:t>
      </w:r>
      <w:r>
        <w:rPr>
          <w:rFonts w:hint="eastAsia" w:ascii="仿宋_GB2312"/>
          <w:b/>
          <w:bCs/>
          <w:color w:val="auto"/>
          <w:sz w:val="24"/>
          <w:lang w:eastAsia="zh-CN"/>
        </w:rPr>
        <w:t>供应商</w:t>
      </w:r>
      <w:r>
        <w:rPr>
          <w:rFonts w:hint="eastAsia" w:ascii="仿宋_GB2312" w:eastAsia="仿宋_GB2312"/>
          <w:b/>
          <w:bCs/>
          <w:color w:val="auto"/>
          <w:sz w:val="24"/>
        </w:rPr>
        <w:t>获得中标人推荐资格；评审得分相同的，由采购人或者采购人委托评标委员会按照</w:t>
      </w:r>
      <w:r>
        <w:rPr>
          <w:rFonts w:hint="eastAsia" w:ascii="仿宋_GB2312"/>
          <w:b/>
          <w:bCs/>
          <w:color w:val="auto"/>
          <w:sz w:val="24"/>
          <w:lang w:eastAsia="zh-CN"/>
        </w:rPr>
        <w:t>采购</w:t>
      </w:r>
      <w:r>
        <w:rPr>
          <w:rFonts w:hint="eastAsia" w:ascii="仿宋_GB2312" w:eastAsia="仿宋_GB2312"/>
          <w:b/>
          <w:bCs/>
          <w:color w:val="auto"/>
          <w:sz w:val="24"/>
        </w:rPr>
        <w:t>文件规定的方式确定一个</w:t>
      </w:r>
      <w:r>
        <w:rPr>
          <w:rFonts w:hint="eastAsia" w:ascii="仿宋_GB2312"/>
          <w:b/>
          <w:bCs/>
          <w:color w:val="auto"/>
          <w:sz w:val="24"/>
          <w:lang w:eastAsia="zh-CN"/>
        </w:rPr>
        <w:t>供应商</w:t>
      </w:r>
      <w:r>
        <w:rPr>
          <w:rFonts w:hint="eastAsia" w:ascii="仿宋_GB2312" w:eastAsia="仿宋_GB2312"/>
          <w:b/>
          <w:bCs/>
          <w:color w:val="auto"/>
          <w:sz w:val="24"/>
        </w:rPr>
        <w:t>获得中标人推荐资格，</w:t>
      </w:r>
      <w:r>
        <w:rPr>
          <w:rFonts w:hint="eastAsia" w:ascii="仿宋_GB2312"/>
          <w:b/>
          <w:bCs/>
          <w:color w:val="auto"/>
          <w:sz w:val="24"/>
          <w:lang w:eastAsia="zh-CN"/>
        </w:rPr>
        <w:t>采购</w:t>
      </w:r>
      <w:r>
        <w:rPr>
          <w:rFonts w:hint="eastAsia" w:ascii="仿宋_GB2312" w:eastAsia="仿宋_GB2312"/>
          <w:b/>
          <w:bCs/>
          <w:color w:val="auto"/>
          <w:sz w:val="24"/>
        </w:rPr>
        <w:t>文件未规定的采取随机抽取方式确定，其他同品牌</w:t>
      </w:r>
      <w:r>
        <w:rPr>
          <w:rFonts w:hint="eastAsia" w:ascii="仿宋_GB2312"/>
          <w:b/>
          <w:bCs/>
          <w:color w:val="auto"/>
          <w:sz w:val="24"/>
          <w:lang w:eastAsia="zh-CN"/>
        </w:rPr>
        <w:t>供应商</w:t>
      </w:r>
      <w:r>
        <w:rPr>
          <w:rFonts w:hint="eastAsia" w:ascii="仿宋_GB2312" w:eastAsia="仿宋_GB2312"/>
          <w:b/>
          <w:bCs/>
          <w:color w:val="auto"/>
          <w:sz w:val="24"/>
        </w:rPr>
        <w:t>不作为中标候选人；</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非单一产品采购项目中，多家</w:t>
      </w:r>
      <w:r>
        <w:rPr>
          <w:rFonts w:hint="eastAsia" w:ascii="仿宋_GB2312"/>
          <w:b/>
          <w:bCs/>
          <w:color w:val="auto"/>
          <w:sz w:val="24"/>
          <w:lang w:eastAsia="zh-CN"/>
        </w:rPr>
        <w:t>供应商</w:t>
      </w:r>
      <w:r>
        <w:rPr>
          <w:rFonts w:hint="eastAsia" w:ascii="仿宋_GB2312" w:eastAsia="仿宋_GB2312"/>
          <w:b/>
          <w:bCs/>
          <w:color w:val="auto"/>
          <w:sz w:val="24"/>
        </w:rPr>
        <w:t>提供的核心产品品牌相同的，视为提供相同品牌产品，核心产品的名称在</w:t>
      </w:r>
      <w:r>
        <w:rPr>
          <w:rFonts w:hint="eastAsia" w:ascii="仿宋_GB2312"/>
          <w:b/>
          <w:bCs/>
          <w:color w:val="auto"/>
          <w:sz w:val="24"/>
          <w:lang w:eastAsia="zh-CN"/>
        </w:rPr>
        <w:t>采购</w:t>
      </w:r>
      <w:r>
        <w:rPr>
          <w:rFonts w:hint="eastAsia" w:ascii="仿宋_GB2312" w:eastAsia="仿宋_GB2312"/>
          <w:b/>
          <w:bCs/>
          <w:color w:val="auto"/>
          <w:sz w:val="24"/>
        </w:rPr>
        <w:t>文件第二章“采购需求”用“▲”标明。</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（六）本项目包括以下设备，根据财办库〔2008〕248号文件有关规定，本项目不允许进口产品参加报价。</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（七）</w:t>
      </w:r>
      <w:r>
        <w:rPr>
          <w:rFonts w:hint="eastAsia" w:ascii="仿宋_GB2312"/>
          <w:b/>
          <w:bCs/>
          <w:color w:val="auto"/>
          <w:sz w:val="24"/>
          <w:lang w:eastAsia="zh-CN"/>
        </w:rPr>
        <w:t>供应商</w:t>
      </w:r>
      <w:r>
        <w:rPr>
          <w:rFonts w:hint="eastAsia" w:ascii="仿宋_GB2312" w:eastAsia="仿宋_GB2312"/>
          <w:b/>
          <w:bCs/>
          <w:color w:val="auto"/>
          <w:sz w:val="24"/>
        </w:rPr>
        <w:t>必须为其响应产品侵犯其他</w:t>
      </w:r>
      <w:r>
        <w:rPr>
          <w:rFonts w:hint="eastAsia" w:ascii="仿宋_GB2312"/>
          <w:b/>
          <w:bCs/>
          <w:color w:val="auto"/>
          <w:sz w:val="24"/>
          <w:lang w:eastAsia="zh-CN"/>
        </w:rPr>
        <w:t>供应商</w:t>
      </w:r>
      <w:r>
        <w:rPr>
          <w:rFonts w:hint="eastAsia" w:ascii="仿宋_GB2312" w:eastAsia="仿宋_GB2312"/>
          <w:b/>
          <w:bCs/>
          <w:color w:val="auto"/>
          <w:sz w:val="24"/>
        </w:rPr>
        <w:t>或专利人的专利成果承担相应法律责任；同时，具有产品专利的</w:t>
      </w:r>
      <w:r>
        <w:rPr>
          <w:rFonts w:hint="eastAsia" w:ascii="仿宋_GB2312"/>
          <w:b/>
          <w:bCs/>
          <w:color w:val="auto"/>
          <w:sz w:val="24"/>
          <w:lang w:eastAsia="zh-CN"/>
        </w:rPr>
        <w:t>供应商</w:t>
      </w:r>
      <w:r>
        <w:rPr>
          <w:rFonts w:hint="eastAsia" w:ascii="仿宋_GB2312" w:eastAsia="仿宋_GB2312"/>
          <w:b/>
          <w:bCs/>
          <w:color w:val="auto"/>
          <w:sz w:val="24"/>
        </w:rPr>
        <w:t>应在其</w:t>
      </w:r>
      <w:r>
        <w:rPr>
          <w:rFonts w:hint="eastAsia" w:ascii="仿宋_GB2312"/>
          <w:b/>
          <w:bCs/>
          <w:color w:val="auto"/>
          <w:sz w:val="24"/>
          <w:lang w:eastAsia="zh-CN"/>
        </w:rPr>
        <w:t>响应</w:t>
      </w:r>
      <w:r>
        <w:rPr>
          <w:rFonts w:hint="eastAsia" w:ascii="仿宋_GB2312" w:eastAsia="仿宋_GB2312"/>
          <w:b/>
          <w:bCs/>
          <w:color w:val="auto"/>
          <w:sz w:val="24"/>
        </w:rPr>
        <w:t>文件中提供与其自有产品专利相关的有效证明材料，否则，不能就其产品的专利在本项目响应过程中被侵权问题提出异议。</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（八）若采购货物属于</w:t>
      </w:r>
      <w:r>
        <w:rPr>
          <w:color w:val="auto"/>
        </w:rPr>
        <w:fldChar w:fldCharType="begin"/>
      </w:r>
      <w:r>
        <w:rPr>
          <w:color w:val="auto"/>
        </w:rPr>
        <w:instrText xml:space="preserve"> HYPERLINK "http://gks.mof.gov.cn/zhengfucaigouguanli/201904/P020190402638613799126.pdf" </w:instrText>
      </w:r>
      <w:r>
        <w:rPr>
          <w:color w:val="auto"/>
        </w:rPr>
        <w:fldChar w:fldCharType="separate"/>
      </w:r>
      <w:r>
        <w:rPr>
          <w:rFonts w:hint="eastAsia" w:ascii="仿宋_GB2312" w:eastAsia="仿宋_GB2312"/>
          <w:b/>
          <w:bCs/>
          <w:color w:val="auto"/>
          <w:sz w:val="24"/>
        </w:rPr>
        <w:t>节能产品政府采购品目清单</w:t>
      </w:r>
      <w:r>
        <w:rPr>
          <w:rFonts w:hint="eastAsia" w:ascii="仿宋_GB2312" w:eastAsia="仿宋_GB2312"/>
          <w:b/>
          <w:bCs/>
          <w:color w:val="auto"/>
          <w:sz w:val="24"/>
        </w:rPr>
        <w:fldChar w:fldCharType="end"/>
      </w:r>
      <w:r>
        <w:rPr>
          <w:rFonts w:hint="eastAsia" w:ascii="仿宋_GB2312" w:eastAsia="仿宋_GB2312"/>
          <w:b/>
          <w:bCs/>
          <w:color w:val="auto"/>
          <w:sz w:val="24"/>
        </w:rPr>
        <w:t>范围的，</w:t>
      </w:r>
      <w:r>
        <w:rPr>
          <w:rFonts w:hint="eastAsia" w:ascii="仿宋_GB2312"/>
          <w:b/>
          <w:bCs/>
          <w:color w:val="auto"/>
          <w:sz w:val="24"/>
          <w:lang w:eastAsia="zh-CN"/>
        </w:rPr>
        <w:t>供应商</w:t>
      </w:r>
      <w:r>
        <w:rPr>
          <w:rFonts w:hint="eastAsia" w:ascii="仿宋_GB2312" w:eastAsia="仿宋_GB2312"/>
          <w:b/>
          <w:bCs/>
          <w:color w:val="auto"/>
          <w:sz w:val="24"/>
        </w:rPr>
        <w:t>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w:t>
      </w:r>
      <w:r>
        <w:rPr>
          <w:rFonts w:hint="eastAsia" w:ascii="仿宋_GB2312"/>
          <w:b/>
          <w:bCs/>
          <w:color w:val="auto"/>
          <w:sz w:val="24"/>
          <w:lang w:eastAsia="zh-CN"/>
        </w:rPr>
        <w:t>供应商</w:t>
      </w:r>
      <w:r>
        <w:rPr>
          <w:rFonts w:hint="eastAsia" w:ascii="仿宋_GB2312" w:eastAsia="仿宋_GB2312"/>
          <w:b/>
          <w:bCs/>
          <w:color w:val="auto"/>
          <w:sz w:val="24"/>
        </w:rPr>
        <w:t>CA电子签章），否则其投标无效。</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（九）本货物需求一览表的技术参数要求中未特别列明的技术要求参照国家相关技术标准执行，如有最新标准，按最新标准执行。</w:t>
      </w:r>
    </w:p>
    <w:bookmarkEnd w:id="2"/>
    <w:tbl>
      <w:tblPr>
        <w:tblStyle w:val="14"/>
        <w:tblW w:w="10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12"/>
        <w:gridCol w:w="683"/>
        <w:gridCol w:w="6221"/>
        <w:gridCol w:w="98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1" w:type="dxa"/>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395" w:type="dxa"/>
            <w:gridSpan w:val="2"/>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货物名称</w:t>
            </w:r>
          </w:p>
        </w:tc>
        <w:tc>
          <w:tcPr>
            <w:tcW w:w="6221" w:type="dxa"/>
            <w:vAlign w:val="center"/>
          </w:tcPr>
          <w:p>
            <w:pPr>
              <w:widowControl/>
              <w:jc w:val="center"/>
              <w:rPr>
                <w:rFonts w:hint="eastAsia" w:ascii="宋体" w:hAnsi="宋体" w:eastAsia="仿宋_GB2312" w:cs="宋体"/>
                <w:b/>
                <w:bCs/>
                <w:color w:val="auto"/>
                <w:kern w:val="0"/>
                <w:sz w:val="24"/>
                <w:szCs w:val="24"/>
                <w:lang w:val="en-US" w:eastAsia="zh-CN" w:bidi="ar-SA"/>
              </w:rPr>
            </w:pPr>
            <w:r>
              <w:rPr>
                <w:rFonts w:hint="eastAsia" w:ascii="宋体" w:hAnsi="宋体" w:cs="宋体"/>
                <w:b/>
                <w:bCs/>
                <w:color w:val="auto"/>
                <w:kern w:val="0"/>
                <w:sz w:val="24"/>
                <w:szCs w:val="24"/>
              </w:rPr>
              <w:t>技术</w:t>
            </w:r>
            <w:r>
              <w:rPr>
                <w:rFonts w:ascii="宋体" w:hAnsi="宋体" w:cs="宋体"/>
                <w:b/>
                <w:bCs/>
                <w:color w:val="auto"/>
                <w:kern w:val="0"/>
                <w:sz w:val="24"/>
                <w:szCs w:val="24"/>
              </w:rPr>
              <w:t>参数</w:t>
            </w:r>
          </w:p>
        </w:tc>
        <w:tc>
          <w:tcPr>
            <w:tcW w:w="980" w:type="dxa"/>
            <w:vAlign w:val="center"/>
          </w:tcPr>
          <w:p>
            <w:pPr>
              <w:widowControl/>
              <w:jc w:val="center"/>
              <w:rPr>
                <w:rFonts w:ascii="宋体" w:hAnsi="宋体" w:cs="宋体"/>
                <w:b/>
                <w:bCs/>
                <w:color w:val="auto"/>
                <w:kern w:val="0"/>
                <w:sz w:val="24"/>
                <w:szCs w:val="24"/>
              </w:rPr>
            </w:pPr>
            <w:r>
              <w:rPr>
                <w:rFonts w:hint="eastAsia" w:ascii="仿宋_GB2312" w:hAnsi="仿宋_GB2312" w:eastAsia="仿宋_GB2312" w:cs="仿宋_GB2312"/>
                <w:b/>
                <w:bCs/>
                <w:color w:val="auto"/>
                <w:sz w:val="24"/>
                <w:szCs w:val="24"/>
                <w:highlight w:val="none"/>
              </w:rPr>
              <w:t>数量及单位</w:t>
            </w:r>
          </w:p>
        </w:tc>
        <w:tc>
          <w:tcPr>
            <w:tcW w:w="1155" w:type="dxa"/>
            <w:vAlign w:val="center"/>
          </w:tcPr>
          <w:p>
            <w:pPr>
              <w:widowControl/>
              <w:jc w:val="center"/>
              <w:rPr>
                <w:rFonts w:hint="eastAsia" w:ascii="仿宋_GB2312" w:hAnsi="仿宋_GB2312" w:eastAsia="仿宋_GB2312" w:cs="仿宋_GB2312"/>
                <w:b/>
                <w:bCs/>
                <w:color w:val="auto"/>
                <w:sz w:val="24"/>
                <w:szCs w:val="24"/>
                <w:highlight w:val="none"/>
              </w:rPr>
            </w:pPr>
            <w:r>
              <w:rPr>
                <w:rFonts w:hint="eastAsia" w:ascii="仿宋" w:hAnsi="仿宋" w:eastAsia="仿宋" w:cs="仿宋"/>
                <w:b/>
                <w:bCs/>
                <w:i w:val="0"/>
                <w:iCs w:val="0"/>
                <w:color w:val="auto"/>
                <w:kern w:val="0"/>
                <w:sz w:val="24"/>
                <w:szCs w:val="24"/>
                <w:u w:val="none"/>
                <w:lang w:val="en-US" w:eastAsia="zh-CN" w:bidi="ar"/>
              </w:rPr>
              <w:t>分项预算合计（元）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w:t>
            </w:r>
          </w:p>
        </w:tc>
        <w:tc>
          <w:tcPr>
            <w:tcW w:w="1395"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color w:val="auto"/>
                <w:kern w:val="0"/>
                <w:sz w:val="21"/>
                <w:szCs w:val="21"/>
                <w:lang w:val="en"/>
              </w:rPr>
            </w:pPr>
            <w:r>
              <w:rPr>
                <w:rFonts w:hint="default" w:ascii="仿宋_GB2312" w:hAnsi="仿宋_GB2312" w:eastAsia="仿宋_GB2312" w:cs="仿宋_GB2312"/>
                <w:bCs/>
                <w:color w:val="auto"/>
                <w:kern w:val="0"/>
                <w:sz w:val="24"/>
                <w:szCs w:val="24"/>
                <w:lang w:val="en"/>
              </w:rPr>
              <w:t>椭圆形会议桌</w:t>
            </w:r>
          </w:p>
        </w:tc>
        <w:tc>
          <w:tcPr>
            <w:tcW w:w="6221"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规格：7000*3800*810H</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1、基材要求：</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cs="仿宋_GB2312"/>
                <w:bCs/>
                <w:color w:val="auto"/>
                <w:kern w:val="0"/>
                <w:sz w:val="24"/>
                <w:szCs w:val="24"/>
                <w:lang w:val="en-US" w:eastAsia="zh-CN" w:bidi="ar-SA"/>
              </w:rPr>
              <w:t>采用优质环保型中密度纤维板（中纤板），板材的含水率、密度、吸水厚度膨胀率、内胶合强度、静曲强度、弹性模量、表面胶合强度均符合GB/T 11718-2021《中密度纤维板》的要求；</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cs="仿宋_GB2312"/>
                <w:bCs/>
                <w:color w:val="auto"/>
                <w:kern w:val="0"/>
                <w:sz w:val="24"/>
                <w:szCs w:val="24"/>
                <w:lang w:val="en-US" w:eastAsia="zh-CN" w:bidi="ar-SA"/>
              </w:rPr>
              <w:t>板材的甲醛释放量满足GB18580-2017《室内装饰装修材料人造板及其制品中甲醛释放限量》的要求，按GB/T 39600-2021《人造板及其制品甲醛释放量分级》达到E0级，甲醛释放量≤0.050mg/</w:t>
            </w:r>
            <w:r>
              <w:rPr>
                <w:rFonts w:hint="eastAsia" w:ascii="仿宋_GB2312" w:hAnsi="仿宋_GB2312" w:eastAsia="仿宋_GB2312" w:cs="仿宋_GB2312"/>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cs="仿宋_GB2312"/>
                <w:bCs/>
                <w:color w:val="auto"/>
                <w:kern w:val="0"/>
                <w:sz w:val="24"/>
                <w:szCs w:val="24"/>
                <w:lang w:val="en-US" w:eastAsia="zh-CN" w:bidi="ar-SA"/>
              </w:rPr>
              <w:t>板材的挥发性有机化合物含量符合GB/T 35601-2024《绿色产品评价 人造板和木质地板》的要求，其中苯≤2μg/</w:t>
            </w:r>
            <w:r>
              <w:rPr>
                <w:rFonts w:hint="eastAsia" w:ascii="仿宋_GB2312" w:hAnsi="仿宋_GB2312" w:eastAsia="仿宋_GB2312" w:cs="仿宋_GB2312"/>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,甲苯≤10μg/</w:t>
            </w:r>
            <w:r>
              <w:rPr>
                <w:rFonts w:hint="eastAsia" w:ascii="方正仿宋_GBK" w:hAnsi="方正仿宋_GBK" w:eastAsia="方正仿宋_GBK" w:cs="方正仿宋_GBK"/>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,二甲苯≤10μg/</w:t>
            </w:r>
            <w:r>
              <w:rPr>
                <w:rFonts w:hint="eastAsia" w:ascii="仿宋_GB2312" w:hAnsi="仿宋_GB2312" w:eastAsia="仿宋_GB2312" w:cs="仿宋_GB2312"/>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,TVOC≤100μg/</w:t>
            </w:r>
            <w:r>
              <w:rPr>
                <w:rFonts w:hint="eastAsia" w:ascii="仿宋_GB2312" w:hAnsi="仿宋_GB2312" w:eastAsia="仿宋_GB2312" w:cs="仿宋_GB2312"/>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。总挥发性有机化合物(TVOC)含量符合HJ 571-2010《环境标志产品技术要求 人造板及其制品》的要求，总挥发性有机化合物(TVOC)含量≤0.50mg/</w:t>
            </w:r>
            <w:r>
              <w:rPr>
                <w:rFonts w:hint="eastAsia" w:ascii="方正仿宋_GBK" w:hAnsi="方正仿宋_GBK" w:eastAsia="方正仿宋_GBK" w:cs="方正仿宋_GBK"/>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·h。同时，板材的防霉性能（黑曲霉、出芽短梗霉、球毛壳霉、黄曲霉、桔青霉、绿色木霉）符合LY/T 2230-2013《人造板防霉性能评价》的要求，防霉性能优于2级（0级最好，4级最差）。</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2、面材：采用优质胡桃木皮饰面，木皮要颜色一致，纹理自然清晰，无明显节眼、黑斑、破损等。木皮经过高温烘干、除虫等处理。</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3、油漆：采用优质环保型PU聚酯漆。面漆和底漆中的有害物质限量都符合GB18581-2020《木器涂料中有害物质限量》的要求。</w:t>
            </w:r>
            <w:r>
              <w:rPr>
                <w:rFonts w:hint="eastAsia" w:ascii="仿宋_GB2312" w:hAnsi="仿宋_GB2312" w:cs="仿宋_GB2312"/>
                <w:bCs/>
                <w:color w:val="auto"/>
                <w:kern w:val="0"/>
                <w:sz w:val="24"/>
                <w:szCs w:val="24"/>
                <w:u w:val="none"/>
                <w:lang w:val="en-US" w:eastAsia="zh-CN" w:bidi="ar-SA"/>
              </w:rPr>
              <w:t>其中面漆和底漆中的乙二醇醚及醚酯总和含量≤300mg/kg，苯含量≤0.1%，甲苯与二甲苯（含乙苯）总和含量≤20%，多环芳烃总和含量≤200mg/kg，卤代烃总和含量≤0.1%。</w:t>
            </w:r>
            <w:r>
              <w:rPr>
                <w:rFonts w:hint="eastAsia" w:ascii="仿宋_GB2312" w:hAnsi="仿宋_GB2312" w:cs="仿宋_GB2312"/>
                <w:bCs/>
                <w:color w:val="auto"/>
                <w:kern w:val="0"/>
                <w:sz w:val="24"/>
                <w:szCs w:val="24"/>
                <w:lang w:val="en-US" w:eastAsia="zh-CN" w:bidi="ar-SA"/>
              </w:rPr>
              <w:t>其中面漆铅笔硬度（擦伤）≥HB；附着力（划格间距2mm）≤1级；耐干热性［（90±2）℃，15min］≤2级；耐磨性（750g/500r）≤0.050g；耐水性（24h）、耐碱性（2h）、耐醇性（8h）、耐污染性（1h）无异常。所有木制外露部分油漆喷涂完整，防止木材回潮。油漆漆面平整无颗粒、气泡、积粉、渣点，表面色泽均匀剔透，具有较好的耐磨性、耐高温性能，附着力强。</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u w:val="none"/>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4、胶粘剂：采用优质胶粘剂（白乳胶）。</w:t>
            </w:r>
            <w:r>
              <w:rPr>
                <w:rFonts w:hint="eastAsia" w:ascii="仿宋_GB2312" w:hAnsi="仿宋_GB2312" w:cs="仿宋_GB2312"/>
                <w:bCs/>
                <w:color w:val="auto"/>
                <w:kern w:val="0"/>
                <w:sz w:val="24"/>
                <w:szCs w:val="24"/>
                <w:u w:val="none"/>
                <w:lang w:val="en-US" w:eastAsia="zh-CN" w:bidi="ar-SA"/>
              </w:rPr>
              <w:t>胶粘剂（白乳胶）中的有害物质限量必须符合国家标准GB 18583-2008《室内装饰装修材料 胶粘剂中有害物质限量》（水基型聚乙酸乙烯酯胶粘剂）的要求。其中游离甲醛≤1.0g/kg；苯≤0.20g/kg；甲苯+二甲苯≤10g/kg；总挥发性有机物≤110g/L。</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u w:val="none"/>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5、五金配件：</w:t>
            </w:r>
            <w:r>
              <w:rPr>
                <w:rFonts w:hint="eastAsia" w:ascii="仿宋_GB2312" w:hAnsi="仿宋_GB2312" w:cs="仿宋_GB2312"/>
                <w:bCs/>
                <w:color w:val="auto"/>
                <w:kern w:val="0"/>
                <w:sz w:val="24"/>
                <w:szCs w:val="24"/>
                <w:u w:val="none"/>
                <w:lang w:val="en-US" w:eastAsia="zh-CN" w:bidi="ar-SA"/>
              </w:rPr>
              <w:t>采用优质三合一连接件，三合一偏心连接件须符合GB/T28203-2011《家具用连接件技术要求及试验方法》中的技术要求，其中三合一偏心连接件的金属件表面应无锈蚀、毛刺刃口、露底，应光滑平整，应无起泡、泛黄、花斑、烧焦、裂纹、划痕、磕碰上等缺陷；塑料部位表面应光洁平滑，不应有裂纹、划伤、沙粒、疙瘩、麻点等缺陷，色泽应一致。三合一偏心连接件的偏心体与链接螺杆的锁紧角度应在150°～190°范围内；三合一偏心连接件偏心体抗压强度应≥240N；三合一偏心连接件预埋螺母抗拉强度应≥550N；三合一偏心连接件中偏心体与连接螺杆的扭矩≥7.0 N·m。金属表面耐腐蚀须达到GB/T3826-1999《轻工产品金属镀层和化学处理层的耐腐蚀试验方法 中性盐雾试验（NSS）法》的要求(中性盐雾连续喷雾不低于100小时)，镀层本身的耐腐蚀等级、镀层对基体的保护等级不低于9级（10级最好，0级最差）。</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cs="仿宋_GB2312"/>
                <w:bCs/>
                <w:color w:val="auto"/>
                <w:kern w:val="0"/>
                <w:sz w:val="24"/>
                <w:szCs w:val="24"/>
                <w:lang w:val="en-US" w:eastAsia="zh-CN" w:bidi="ar-SA"/>
              </w:rPr>
              <w:t>参考图片：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drawing>
                <wp:inline distT="0" distB="0" distL="114300" distR="114300">
                  <wp:extent cx="1543685" cy="1047115"/>
                  <wp:effectExtent l="0" t="0" r="18415" b="635"/>
                  <wp:docPr id="3" name="图片 3" descr="微信图片_20260514085251_165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514085251_165_23"/>
                          <pic:cNvPicPr>
                            <a:picLocks noChangeAspect="1"/>
                          </pic:cNvPicPr>
                        </pic:nvPicPr>
                        <pic:blipFill>
                          <a:blip r:embed="rId5"/>
                          <a:stretch>
                            <a:fillRect/>
                          </a:stretch>
                        </pic:blipFill>
                        <pic:spPr>
                          <a:xfrm>
                            <a:off x="0" y="0"/>
                            <a:ext cx="1543685" cy="1047115"/>
                          </a:xfrm>
                          <a:prstGeom prst="rect">
                            <a:avLst/>
                          </a:prstGeom>
                        </pic:spPr>
                      </pic:pic>
                    </a:graphicData>
                  </a:graphic>
                </wp:inline>
              </w:drawing>
            </w:r>
          </w:p>
        </w:tc>
        <w:tc>
          <w:tcPr>
            <w:tcW w:w="9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4"/>
                <w:szCs w:val="24"/>
                <w:lang w:eastAsia="zh-CN"/>
              </w:rPr>
            </w:pPr>
            <w:r>
              <w:rPr>
                <w:rFonts w:hint="eastAsia" w:ascii="仿宋_GB2312" w:hAnsi="仿宋_GB2312" w:cs="仿宋_GB2312"/>
                <w:bCs/>
                <w:color w:val="auto"/>
                <w:kern w:val="0"/>
                <w:sz w:val="24"/>
                <w:szCs w:val="24"/>
                <w:lang w:val="en-US" w:eastAsia="zh-CN"/>
              </w:rPr>
              <w:t>1张</w:t>
            </w:r>
          </w:p>
        </w:tc>
        <w:tc>
          <w:tcPr>
            <w:tcW w:w="115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color w:val="auto"/>
                <w:kern w:val="0"/>
                <w:sz w:val="24"/>
                <w:szCs w:val="24"/>
                <w:lang w:val="en-US" w:eastAsia="zh-CN"/>
              </w:rPr>
            </w:pPr>
            <w:r>
              <w:rPr>
                <w:rFonts w:hint="eastAsia" w:ascii="仿宋_GB2312" w:hAnsi="仿宋_GB2312" w:cs="仿宋_GB2312"/>
                <w:bCs/>
                <w:color w:val="auto"/>
                <w:kern w:val="0"/>
                <w:sz w:val="24"/>
                <w:szCs w:val="24"/>
                <w:lang w:val="en-US" w:eastAsia="zh-CN"/>
              </w:rPr>
              <w:t>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8" w:hRule="atLeast"/>
          <w:jc w:val="center"/>
        </w:trPr>
        <w:tc>
          <w:tcPr>
            <w:tcW w:w="7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w:t>
            </w:r>
          </w:p>
        </w:tc>
        <w:tc>
          <w:tcPr>
            <w:tcW w:w="1395"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4"/>
                <w:szCs w:val="24"/>
              </w:rPr>
              <w:t>弧形条形桌</w:t>
            </w:r>
          </w:p>
        </w:tc>
        <w:tc>
          <w:tcPr>
            <w:tcW w:w="6221"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规格：</w:t>
            </w:r>
            <w:r>
              <w:rPr>
                <w:rFonts w:hint="eastAsia" w:ascii="仿宋_GB2312" w:hAnsi="仿宋_GB2312" w:eastAsia="仿宋_GB2312" w:cs="仿宋_GB2312"/>
                <w:bCs/>
                <w:color w:val="auto"/>
                <w:kern w:val="0"/>
                <w:sz w:val="24"/>
                <w:szCs w:val="24"/>
                <w:lang w:val="en-US" w:eastAsia="zh-CN" w:bidi="ar-SA"/>
              </w:rPr>
              <w:t>8910*600*760H</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1、基材要求：</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cs="仿宋_GB2312"/>
                <w:bCs/>
                <w:color w:val="auto"/>
                <w:kern w:val="0"/>
                <w:sz w:val="24"/>
                <w:szCs w:val="24"/>
                <w:lang w:val="en-US" w:eastAsia="zh-CN" w:bidi="ar-SA"/>
              </w:rPr>
              <w:t>采用优质环保型中密度纤维板（中纤板），板材的含水率、密度、吸水厚度膨胀率、内胶合强度、静曲强度、弹性模量、表面胶合强度均符合GB/T 11718-2021《中密度纤维板》的要求；</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cs="仿宋_GB2312"/>
                <w:bCs/>
                <w:color w:val="auto"/>
                <w:kern w:val="0"/>
                <w:sz w:val="24"/>
                <w:szCs w:val="24"/>
                <w:lang w:val="en-US" w:eastAsia="zh-CN" w:bidi="ar-SA"/>
              </w:rPr>
              <w:t>板材的甲醛释放量满足GB18580-2017《室内装饰装修材料人造板及其制品中甲醛释放限量》的要求，按GB/T 39600-2021《人造板及其制品甲醛释放量分级》达到E0级，甲醛释放量≤0.050mg/</w:t>
            </w:r>
            <w:r>
              <w:rPr>
                <w:rFonts w:hint="eastAsia" w:ascii="方正仿宋_GBK" w:hAnsi="方正仿宋_GBK" w:eastAsia="方正仿宋_GBK" w:cs="方正仿宋_GBK"/>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cs="仿宋_GB2312"/>
                <w:bCs/>
                <w:color w:val="auto"/>
                <w:kern w:val="0"/>
                <w:sz w:val="24"/>
                <w:szCs w:val="24"/>
                <w:lang w:val="en-US" w:eastAsia="zh-CN" w:bidi="ar-SA"/>
              </w:rPr>
              <w:t>板材的挥发性有机化合物含量符合GB/T 35601-2024《绿色产品评价 人造板和木质地板》的要求，其中苯≤2μg/</w:t>
            </w:r>
            <w:r>
              <w:rPr>
                <w:rFonts w:hint="eastAsia" w:ascii="方正仿宋_GBK" w:hAnsi="方正仿宋_GBK" w:eastAsia="方正仿宋_GBK" w:cs="方正仿宋_GBK"/>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,甲苯≤10μg/</w:t>
            </w:r>
            <w:r>
              <w:rPr>
                <w:rFonts w:hint="eastAsia" w:ascii="方正仿宋_GBK" w:hAnsi="方正仿宋_GBK" w:eastAsia="方正仿宋_GBK" w:cs="方正仿宋_GBK"/>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,二甲苯≤10μg/</w:t>
            </w:r>
            <w:r>
              <w:rPr>
                <w:rFonts w:hint="eastAsia" w:ascii="方正仿宋_GBK" w:hAnsi="方正仿宋_GBK" w:eastAsia="方正仿宋_GBK" w:cs="方正仿宋_GBK"/>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,TVOC≤100μg/</w:t>
            </w:r>
            <w:r>
              <w:rPr>
                <w:rFonts w:hint="eastAsia" w:ascii="方正仿宋_GBK" w:hAnsi="方正仿宋_GBK" w:eastAsia="方正仿宋_GBK" w:cs="方正仿宋_GBK"/>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。总挥发性有机化合物(TVOC)含量符合HJ 571-2010《环境标志产品技术要求 人造板及其制品》的要求，总挥发性有机化合物(TVOC)含量≤0.50mg/</w:t>
            </w:r>
            <w:r>
              <w:rPr>
                <w:rFonts w:hint="eastAsia" w:ascii="方正仿宋_GBK" w:hAnsi="方正仿宋_GBK" w:eastAsia="方正仿宋_GBK" w:cs="方正仿宋_GBK"/>
                <w:bCs/>
                <w:color w:val="auto"/>
                <w:kern w:val="0"/>
                <w:sz w:val="24"/>
                <w:szCs w:val="24"/>
                <w:lang w:val="en-US" w:eastAsia="zh-CN" w:bidi="ar-SA"/>
              </w:rPr>
              <w:t>㎡</w:t>
            </w:r>
            <w:r>
              <w:rPr>
                <w:rFonts w:hint="eastAsia" w:ascii="仿宋_GB2312" w:hAnsi="仿宋_GB2312" w:cs="仿宋_GB2312"/>
                <w:bCs/>
                <w:color w:val="auto"/>
                <w:kern w:val="0"/>
                <w:sz w:val="24"/>
                <w:szCs w:val="24"/>
                <w:lang w:val="en-US" w:eastAsia="zh-CN" w:bidi="ar-SA"/>
              </w:rPr>
              <w:t>·h。同时，板材的防霉性能（黑曲霉、出芽短梗霉、球毛壳霉、黄曲霉、桔青霉、绿色木霉）符合LY/T 2230-2013《人造板防霉性能评价》的要求，防霉性能优于2级（0级最好，4级最差）。</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2、面材：采用优质胡桃木皮饰面，木皮要颜色一致，纹理自然清晰，无明显节眼、黑斑、破损等。木皮经过高温烘干、除虫等处理。</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3、油漆：采用优质环保型PU聚酯漆。面漆和底漆中的有害物质限量都符合GB18581-2020《木器涂料中有害物质限量》的要求。</w:t>
            </w:r>
            <w:r>
              <w:rPr>
                <w:rFonts w:hint="eastAsia" w:ascii="仿宋_GB2312" w:hAnsi="仿宋_GB2312" w:cs="仿宋_GB2312"/>
                <w:bCs/>
                <w:color w:val="auto"/>
                <w:kern w:val="0"/>
                <w:sz w:val="24"/>
                <w:szCs w:val="24"/>
                <w:u w:val="none"/>
                <w:lang w:val="en-US" w:eastAsia="zh-CN" w:bidi="ar-SA"/>
              </w:rPr>
              <w:t>其中面漆和底漆中的乙二醇醚及醚酯总和含量≤300mg/kg，苯含量≤0.1%，甲苯与二甲苯（含乙苯）总和含量≤20%，多环芳烃总和含量≤200mg/kg，卤代烃总和含量≤0.1%。</w:t>
            </w:r>
            <w:r>
              <w:rPr>
                <w:rFonts w:hint="eastAsia" w:ascii="仿宋_GB2312" w:hAnsi="仿宋_GB2312" w:cs="仿宋_GB2312"/>
                <w:bCs/>
                <w:color w:val="auto"/>
                <w:kern w:val="0"/>
                <w:sz w:val="24"/>
                <w:szCs w:val="24"/>
                <w:lang w:val="en-US" w:eastAsia="zh-CN" w:bidi="ar-SA"/>
              </w:rPr>
              <w:t>其中面漆铅笔硬度（擦伤）≥HB；附着力（划格间距2mm）≤1级；耐干热性［（90±2）℃，15min］≤2级；耐磨性（750g/500r）≤0.050g；耐水性（24h）、耐碱性（2h）、耐醇性（8h）、耐污染性（1h）无异常。所有木制外露部分油漆喷涂完整，防止木材回潮。油漆漆面平整无颗粒、气泡、积粉、渣点，表面色泽均匀剔透，具有较好的耐磨性、耐高温性能，附着力强。</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u w:val="none"/>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4、胶粘剂：采用优质胶粘剂（白乳胶）。</w:t>
            </w:r>
            <w:r>
              <w:rPr>
                <w:rFonts w:hint="eastAsia" w:ascii="仿宋_GB2312" w:hAnsi="仿宋_GB2312" w:cs="仿宋_GB2312"/>
                <w:bCs/>
                <w:color w:val="auto"/>
                <w:kern w:val="0"/>
                <w:sz w:val="24"/>
                <w:szCs w:val="24"/>
                <w:u w:val="none"/>
                <w:lang w:val="en-US" w:eastAsia="zh-CN" w:bidi="ar-SA"/>
              </w:rPr>
              <w:t>胶粘剂（白乳胶）中的有害物质限量必须符合国家标准GB 18583-2008《室内装饰装修材料 胶粘剂中有害物质限量》（水基型聚乙酸乙烯酯胶粘剂）的要求。其中游离甲醛≤1.0g/kg；苯≤0.20g/kg；甲苯+二甲苯≤10g/kg；总挥发性有机物≤110g/L。</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5、五金配件：采用优质三合一连接件，三合一偏心连接件须符合GB/T28203-2011《家具用连接件技术要求及试验方法》中的技术要求，其中三合一偏心连接件的金属件表面应无锈蚀、毛刺刃口、露底，应光滑平整，应无起泡、泛黄、花斑、烧焦、裂纹、划痕、磕碰上等缺陷；塑料部位表面应光洁平滑，不应有裂纹、划伤、沙粒、疙瘩、麻点等缺陷，色泽应一致。三合一偏心连接件的偏心体与链接螺杆的锁紧角度应在150°～190°范围内；三合一偏心连接件偏心体抗压强度应≥240N；三合一偏心连接件预埋螺母抗拉强度应≥550N；三合一偏心连接件中偏心体与连接螺杆的扭矩≥7.0 N·m。金属表面耐腐蚀须达到GB/T3826-1999《轻工产品金属镀层和化学处理层的耐腐蚀试验方法 中性盐雾试验（NSS）法》的要求(中性盐雾连续喷雾不低于100小时)，镀层本身的耐腐蚀等级、镀层对基体的保护等级不低于9级（10级最好，0级最差）。</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cs="仿宋_GB2312"/>
                <w:bCs/>
                <w:color w:val="auto"/>
                <w:kern w:val="0"/>
                <w:sz w:val="24"/>
                <w:szCs w:val="24"/>
                <w:lang w:val="en-US" w:eastAsia="zh-CN" w:bidi="ar-SA"/>
              </w:rPr>
              <w:t>参考图片：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drawing>
                <wp:inline distT="0" distB="0" distL="114300" distR="114300">
                  <wp:extent cx="2243455" cy="1273175"/>
                  <wp:effectExtent l="0" t="0" r="4445" b="3175"/>
                  <wp:docPr id="4" name="图片 4" descr="微信图片_20260514085152_164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60514085152_164_23"/>
                          <pic:cNvPicPr>
                            <a:picLocks noChangeAspect="1"/>
                          </pic:cNvPicPr>
                        </pic:nvPicPr>
                        <pic:blipFill>
                          <a:blip r:embed="rId6"/>
                          <a:stretch>
                            <a:fillRect/>
                          </a:stretch>
                        </pic:blipFill>
                        <pic:spPr>
                          <a:xfrm>
                            <a:off x="0" y="0"/>
                            <a:ext cx="2243455" cy="1273175"/>
                          </a:xfrm>
                          <a:prstGeom prst="rect">
                            <a:avLst/>
                          </a:prstGeom>
                        </pic:spPr>
                      </pic:pic>
                    </a:graphicData>
                  </a:graphic>
                </wp:inline>
              </w:drawing>
            </w:r>
          </w:p>
        </w:tc>
        <w:tc>
          <w:tcPr>
            <w:tcW w:w="9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val="en-US" w:eastAsia="zh-CN"/>
              </w:rPr>
              <w:t>2</w:t>
            </w:r>
            <w:r>
              <w:rPr>
                <w:rFonts w:hint="eastAsia" w:ascii="仿宋_GB2312" w:hAnsi="仿宋_GB2312" w:cs="仿宋_GB2312"/>
                <w:bCs/>
                <w:color w:val="auto"/>
                <w:kern w:val="0"/>
                <w:sz w:val="24"/>
                <w:szCs w:val="24"/>
                <w:lang w:val="en-US" w:eastAsia="zh-CN"/>
              </w:rPr>
              <w:t>张</w:t>
            </w:r>
          </w:p>
        </w:tc>
        <w:tc>
          <w:tcPr>
            <w:tcW w:w="115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color w:val="auto"/>
                <w:kern w:val="0"/>
                <w:sz w:val="24"/>
                <w:szCs w:val="24"/>
                <w:lang w:val="en-US" w:eastAsia="zh-CN"/>
              </w:rPr>
            </w:pPr>
            <w:r>
              <w:rPr>
                <w:rFonts w:hint="eastAsia" w:ascii="仿宋_GB2312" w:hAnsi="仿宋_GB2312" w:cs="仿宋_GB2312"/>
                <w:bCs/>
                <w:color w:val="auto"/>
                <w:kern w:val="0"/>
                <w:sz w:val="24"/>
                <w:szCs w:val="24"/>
                <w:lang w:val="en-US" w:eastAsia="zh-CN"/>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7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w:t>
            </w:r>
          </w:p>
        </w:tc>
        <w:tc>
          <w:tcPr>
            <w:tcW w:w="1395"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4"/>
                <w:szCs w:val="24"/>
              </w:rPr>
              <w:t>会议椅</w:t>
            </w:r>
          </w:p>
        </w:tc>
        <w:tc>
          <w:tcPr>
            <w:tcW w:w="6221" w:type="dxa"/>
            <w:vAlign w:val="center"/>
          </w:tcPr>
          <w:p>
            <w:pPr>
              <w:spacing w:line="440" w:lineRule="exact"/>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规格：</w:t>
            </w:r>
            <w:r>
              <w:rPr>
                <w:rFonts w:hint="eastAsia" w:ascii="仿宋_GB2312" w:hAnsi="仿宋_GB2312" w:eastAsia="仿宋_GB2312" w:cs="仿宋_GB2312"/>
                <w:color w:val="auto"/>
                <w:sz w:val="24"/>
                <w:szCs w:val="24"/>
                <w:lang w:val="en-US" w:eastAsia="zh-CN" w:bidi="ar"/>
              </w:rPr>
              <w:t>680*730*1120H</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1、面料：采用优质皮革（真皮），皮面光泽度好，柔软度高，扩张性好，耐磨性强，耐折牢度高，不含有毒有害物质。皮质的各项技术指标符合GB/T16799-2018《家具用皮革》、GB20400-2006《皮革和皮毛 有害物质限量》的要求，皮的撕裂力≥20N；摩擦色牢度干擦（500次）≥4级、湿擦（250次）≥3/4级、碱性汗液（80次）≥3/4级；气味≤3级；禁用偶氮染料≤30mg/kg；游离甲醛≤75mg/kg；挥发性有机物（VOC）≤150mg/kg；可萃取的重金属铅（Pb）≤90mg/kg、镉（Cd）≤75mg/kg。同时，皮质的防霉性能符合QB/T4199-2011《皮革 防霉性能测试方法》的要求，防霉性能优于2级（1级最好，3级最差）。</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2、海绵：采用优质高弹海绵，回弹率好。要求海绵颜色均匀、无污染、无刺激性气味，海绵回弹率≥35%，75%压缩永久变形≤8%，65%/25%压陷比≥1.8，气味等级≥7级，拉伸强度≥90kPa，断裂伸长率≥100%，撕裂强度≥1.8N/cm，干热老化后拉伸强度≥55kPa，湿热老化后拉伸强度≥55kPa,灰分≤2.75%，甲醛散发≤10mg/kg，均符合GB/T 10802-2023《通用软质聚醚型聚氨酯泡沫塑料》的要求。</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3、座靠内部框架：采用优质环保型胶合板和橡胶木合理搭配使用。胶合板的胶合强度、含水率、静曲强度、弹性模量等各项技术指标须符合GB/T9846-2015《普通胶合板》的要求，甲醛释放量须满足GB18580-2017《室内装饰装修材料人造板及其制品中甲醛释放限量》的要求。橡胶木经高温干燥、除虫、防虫、防腐处理，具有很好的尺寸稳定性,耐磨耐冲击，不变形开裂，承重性好。</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cs="仿宋_GB2312"/>
                <w:bCs/>
                <w:color w:val="auto"/>
                <w:kern w:val="0"/>
                <w:sz w:val="24"/>
                <w:szCs w:val="24"/>
                <w:lang w:val="en-US" w:eastAsia="zh-CN" w:bidi="ar-SA"/>
              </w:rPr>
              <w:t>4、油漆：采用优质环保型PU聚酯漆。面漆和底漆中的有害物质限量都符合GB18581-2020《木器涂料中有害物质限量》的要求。其中面漆和底漆中的乙二醇醚及醚酯总和含量≤300mg/kg，苯含量≤0.1%，甲苯与二甲苯（含乙苯）总和含量≤20%，多环芳烃总和含量≤200mg/kg，卤代烃总和含量≤0.1%。其中面漆铅笔硬度（擦伤）≥HB；附着力（划格间距2mm）≤1级；耐干热性［（90±2）℃，15min］≤2级；耐磨性（750g/500r）≤0.050g；耐水性（24h）、耐碱性（2h）、耐醇性（8h）、耐污染性（1h）无异常。所有木制外露部分油漆喷涂完整，防止木材回潮。油漆漆面平整无颗粒、气泡、积粉、渣点，表面色泽均匀剔透，具有较好的耐磨性、耐高温性能，附着力强。</w:t>
            </w:r>
          </w:p>
          <w:p>
            <w:pPr>
              <w:pStyle w:val="16"/>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cs="仿宋_GB2312"/>
                <w:bCs/>
                <w:color w:val="auto"/>
                <w:kern w:val="0"/>
                <w:sz w:val="24"/>
                <w:szCs w:val="24"/>
                <w:lang w:val="en-US" w:eastAsia="zh-CN" w:bidi="ar-SA"/>
              </w:rPr>
            </w:pPr>
            <w:r>
              <w:rPr>
                <w:rFonts w:hint="eastAsia" w:ascii="仿宋_GB2312" w:hAnsi="仿宋_GB2312" w:cs="仿宋_GB2312"/>
                <w:bCs/>
                <w:color w:val="auto"/>
                <w:kern w:val="0"/>
                <w:sz w:val="24"/>
                <w:szCs w:val="24"/>
                <w:lang w:val="en-US" w:eastAsia="zh-CN" w:bidi="ar-SA"/>
              </w:rPr>
              <w:t>参考图片：</w:t>
            </w:r>
          </w:p>
          <w:p>
            <w:pPr>
              <w:pStyle w:val="16"/>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drawing>
                <wp:inline distT="0" distB="0" distL="114300" distR="114300">
                  <wp:extent cx="1362075" cy="1409065"/>
                  <wp:effectExtent l="0" t="0" r="9525" b="635"/>
                  <wp:docPr id="5" name="图片 5" descr="微信图片_20260514085258_166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60514085258_166_23"/>
                          <pic:cNvPicPr>
                            <a:picLocks noChangeAspect="1"/>
                          </pic:cNvPicPr>
                        </pic:nvPicPr>
                        <pic:blipFill>
                          <a:blip r:embed="rId7"/>
                          <a:stretch>
                            <a:fillRect/>
                          </a:stretch>
                        </pic:blipFill>
                        <pic:spPr>
                          <a:xfrm>
                            <a:off x="0" y="0"/>
                            <a:ext cx="1362075" cy="1409065"/>
                          </a:xfrm>
                          <a:prstGeom prst="rect">
                            <a:avLst/>
                          </a:prstGeom>
                        </pic:spPr>
                      </pic:pic>
                    </a:graphicData>
                  </a:graphic>
                </wp:inline>
              </w:drawing>
            </w:r>
          </w:p>
        </w:tc>
        <w:tc>
          <w:tcPr>
            <w:tcW w:w="9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color w:val="auto"/>
                <w:kern w:val="0"/>
                <w:sz w:val="24"/>
                <w:szCs w:val="24"/>
                <w:lang w:val="en-US" w:eastAsia="zh-CN"/>
              </w:rPr>
            </w:pPr>
            <w:r>
              <w:rPr>
                <w:rFonts w:hint="eastAsia" w:ascii="仿宋_GB2312" w:hAnsi="仿宋_GB2312" w:cs="仿宋_GB2312"/>
                <w:bCs/>
                <w:color w:val="auto"/>
                <w:kern w:val="0"/>
                <w:sz w:val="24"/>
                <w:szCs w:val="24"/>
                <w:lang w:val="en-US" w:eastAsia="zh-CN"/>
              </w:rPr>
              <w:t>63张</w:t>
            </w:r>
          </w:p>
        </w:tc>
        <w:tc>
          <w:tcPr>
            <w:tcW w:w="115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color w:val="auto"/>
                <w:kern w:val="0"/>
                <w:sz w:val="24"/>
                <w:szCs w:val="24"/>
                <w:lang w:val="en-US" w:eastAsia="zh-CN"/>
              </w:rPr>
            </w:pPr>
            <w:r>
              <w:rPr>
                <w:rFonts w:hint="eastAsia" w:ascii="仿宋_GB2312" w:hAnsi="仿宋_GB2312" w:cs="仿宋_GB2312"/>
                <w:bCs/>
                <w:color w:val="auto"/>
                <w:kern w:val="0"/>
                <w:sz w:val="24"/>
                <w:szCs w:val="24"/>
                <w:lang w:val="en-US" w:eastAsia="zh-CN"/>
              </w:rPr>
              <w:t>74970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7"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right="-502" w:rightChars="-157"/>
              <w:rPr>
                <w:rFonts w:hint="eastAsia" w:ascii="仿宋_GB2312" w:hAnsi="宋体" w:eastAsia="仿宋_GB2312" w:cs="宋体"/>
                <w:b/>
                <w:color w:val="auto"/>
                <w:kern w:val="0"/>
                <w:sz w:val="24"/>
              </w:rPr>
            </w:pPr>
            <w:r>
              <w:rPr>
                <w:rFonts w:ascii="仿宋_GB2312" w:hAnsi="宋体" w:eastAsia="仿宋_GB2312" w:cs="宋体"/>
                <w:b/>
                <w:color w:val="auto"/>
                <w:kern w:val="0"/>
                <w:sz w:val="24"/>
              </w:rPr>
              <w:t>★</w:t>
            </w:r>
            <w:r>
              <w:rPr>
                <w:rFonts w:hint="eastAsia" w:ascii="仿宋_GB2312" w:hAnsi="宋体" w:eastAsia="仿宋_GB2312" w:cs="宋体"/>
                <w:b/>
                <w:color w:val="auto"/>
                <w:kern w:val="0"/>
                <w:sz w:val="24"/>
              </w:rPr>
              <w:t>二、商务要求</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ind w:right="-502" w:rightChars="-157"/>
              <w:rPr>
                <w:rFonts w:ascii="仿宋_GB2312" w:hAnsi="宋体" w:eastAsia="仿宋_GB2312"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基本要求</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numPr>
                <w:ilvl w:val="0"/>
                <w:numId w:val="3"/>
              </w:numPr>
              <w:spacing w:line="440" w:lineRule="exact"/>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本项目报价包括</w:t>
            </w:r>
            <w:r>
              <w:rPr>
                <w:rFonts w:hint="eastAsia" w:ascii="仿宋_GB2312" w:hAnsi="仿宋_GB2312" w:eastAsia="仿宋_GB2312" w:cs="仿宋_GB2312"/>
                <w:bCs/>
                <w:color w:val="auto"/>
                <w:sz w:val="24"/>
              </w:rPr>
              <w:t>货物产品</w:t>
            </w:r>
            <w:r>
              <w:rPr>
                <w:rFonts w:hint="eastAsia" w:ascii="仿宋_GB2312" w:hAnsi="仿宋_GB2312" w:eastAsia="仿宋_GB2312" w:cs="仿宋_GB2312"/>
                <w:bCs/>
                <w:color w:val="auto"/>
                <w:sz w:val="24"/>
                <w:szCs w:val="24"/>
              </w:rPr>
              <w:t>及</w:t>
            </w:r>
            <w:r>
              <w:rPr>
                <w:rFonts w:hint="eastAsia" w:ascii="仿宋_GB2312" w:hAnsi="仿宋_GB2312" w:eastAsia="仿宋_GB2312" w:cs="仿宋_GB2312"/>
                <w:bCs/>
                <w:color w:val="auto"/>
                <w:sz w:val="24"/>
              </w:rPr>
              <w:t>货物产品</w:t>
            </w:r>
            <w:r>
              <w:rPr>
                <w:rFonts w:hint="eastAsia" w:ascii="仿宋_GB2312" w:hAnsi="仿宋_GB2312" w:eastAsia="仿宋_GB2312" w:cs="仿宋_GB2312"/>
                <w:bCs/>
                <w:color w:val="auto"/>
                <w:sz w:val="24"/>
                <w:szCs w:val="24"/>
              </w:rPr>
              <w:t>运抵指定交付地点的各种费用、随配附件、备品备件、易损件、专用工具、安装调试、技术培训、技术资料、包装、售后服务、保险费、税金、验收检验及其他所有成本费用的总和</w:t>
            </w:r>
            <w:r>
              <w:rPr>
                <w:rFonts w:hint="eastAsia" w:ascii="仿宋_GB2312" w:hAnsi="仿宋_GB2312" w:cs="仿宋_GB2312"/>
                <w:bCs/>
                <w:color w:val="auto"/>
                <w:sz w:val="24"/>
                <w:szCs w:val="24"/>
                <w:lang w:eastAsia="zh-CN"/>
              </w:rPr>
              <w:t>，采购人不再支付成交价格以外的任何费用</w:t>
            </w:r>
            <w:r>
              <w:rPr>
                <w:rFonts w:hint="eastAsia" w:ascii="仿宋_GB2312" w:hAnsi="仿宋_GB2312" w:eastAsia="仿宋_GB2312" w:cs="仿宋_GB2312"/>
                <w:bCs/>
                <w:color w:val="auto"/>
                <w:sz w:val="24"/>
                <w:szCs w:val="24"/>
              </w:rPr>
              <w:t>；</w:t>
            </w:r>
          </w:p>
          <w:p>
            <w:pPr>
              <w:numPr>
                <w:ilvl w:val="0"/>
                <w:numId w:val="3"/>
              </w:numPr>
              <w:spacing w:line="440" w:lineRule="exact"/>
              <w:ind w:left="0" w:leftChars="0" w:firstLine="0" w:firstLineChars="0"/>
              <w:jc w:val="both"/>
              <w:rPr>
                <w:rFonts w:hint="eastAsia" w:ascii="仿宋_GB2312" w:hAnsi="仿宋_GB2312" w:eastAsia="仿宋_GB2312" w:cs="仿宋_GB2312"/>
                <w:bCs/>
                <w:color w:val="auto"/>
                <w:sz w:val="24"/>
                <w:szCs w:val="24"/>
              </w:rPr>
            </w:pPr>
            <w:r>
              <w:rPr>
                <w:rFonts w:hint="eastAsia" w:ascii="仿宋_GB2312" w:hAnsi="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应保证</w:t>
            </w:r>
            <w:r>
              <w:rPr>
                <w:rFonts w:hint="eastAsia" w:ascii="仿宋_GB2312" w:hAnsi="仿宋_GB2312" w:cs="仿宋_GB2312"/>
                <w:bCs/>
                <w:color w:val="auto"/>
                <w:sz w:val="24"/>
                <w:szCs w:val="24"/>
                <w:lang w:eastAsia="zh-CN"/>
              </w:rPr>
              <w:t>所提供</w:t>
            </w:r>
            <w:r>
              <w:rPr>
                <w:rFonts w:hint="eastAsia" w:ascii="仿宋_GB2312" w:hAnsi="仿宋_GB2312" w:eastAsia="仿宋_GB2312" w:cs="仿宋_GB2312"/>
                <w:bCs/>
                <w:color w:val="auto"/>
                <w:sz w:val="24"/>
              </w:rPr>
              <w:t>货物产品</w:t>
            </w:r>
            <w:r>
              <w:rPr>
                <w:rFonts w:hint="eastAsia" w:ascii="仿宋_GB2312" w:hAnsi="仿宋_GB2312" w:eastAsia="仿宋_GB2312" w:cs="仿宋_GB2312"/>
                <w:bCs/>
                <w:color w:val="auto"/>
                <w:sz w:val="24"/>
                <w:szCs w:val="24"/>
              </w:rPr>
              <w:t>涉及到的知识产权和所提供的相关技术资料是合法取得，不会因为采购人的使用而被责令停止使用、追偿或要求赔偿损失，如出现此情况，一切经济和法律责任均由</w:t>
            </w:r>
            <w:r>
              <w:rPr>
                <w:rFonts w:hint="eastAsia" w:ascii="仿宋_GB2312" w:hAnsi="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承担；
</w:t>
            </w:r>
          </w:p>
          <w:p>
            <w:pPr>
              <w:numPr>
                <w:ilvl w:val="0"/>
                <w:numId w:val="3"/>
              </w:numPr>
              <w:spacing w:line="440" w:lineRule="exact"/>
              <w:ind w:left="0" w:leftChars="0" w:firstLine="0" w:firstLineChars="0"/>
              <w:jc w:val="both"/>
              <w:rPr>
                <w:rFonts w:hint="default" w:ascii="仿宋_GB2312" w:hAnsi="仿宋_GB2312" w:eastAsia="仿宋_GB2312" w:cs="仿宋_GB2312"/>
                <w:bCs/>
                <w:color w:val="auto"/>
                <w:sz w:val="24"/>
                <w:lang w:val="en-US" w:eastAsia="zh-CN"/>
              </w:rPr>
            </w:pPr>
            <w:r>
              <w:rPr>
                <w:rFonts w:hint="eastAsia" w:ascii="仿宋_GB2312" w:hAnsi="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所提供的</w:t>
            </w:r>
            <w:r>
              <w:rPr>
                <w:rFonts w:hint="eastAsia" w:ascii="仿宋_GB2312" w:hAnsi="仿宋_GB2312" w:eastAsia="仿宋_GB2312" w:cs="仿宋_GB2312"/>
                <w:bCs/>
                <w:color w:val="auto"/>
                <w:sz w:val="24"/>
              </w:rPr>
              <w:t>货物产品</w:t>
            </w:r>
            <w:r>
              <w:rPr>
                <w:rFonts w:hint="eastAsia" w:ascii="仿宋_GB2312" w:hAnsi="仿宋_GB2312" w:eastAsia="仿宋_GB2312" w:cs="仿宋_GB2312"/>
                <w:bCs/>
                <w:color w:val="auto"/>
                <w:sz w:val="24"/>
                <w:szCs w:val="24"/>
              </w:rPr>
              <w:t>型号、技术规格、技术参数等质量必须与本次采购要求和承诺相一致</w:t>
            </w:r>
            <w:r>
              <w:rPr>
                <w:rFonts w:hint="eastAsia" w:ascii="仿宋_GB2312" w:hAnsi="仿宋_GB2312" w:cs="仿宋_GB2312"/>
                <w:bCs/>
                <w:color w:val="auto"/>
                <w:sz w:val="24"/>
                <w:szCs w:val="24"/>
                <w:lang w:eastAsia="zh-CN"/>
              </w:rPr>
              <w:t>；所提供的</w:t>
            </w:r>
            <w:r>
              <w:rPr>
                <w:rFonts w:hint="eastAsia" w:ascii="仿宋_GB2312" w:hAnsi="仿宋_GB2312" w:eastAsia="仿宋_GB2312" w:cs="仿宋_GB2312"/>
                <w:bCs/>
                <w:color w:val="auto"/>
                <w:sz w:val="24"/>
              </w:rPr>
              <w:t>货物产品</w:t>
            </w:r>
            <w:r>
              <w:rPr>
                <w:rFonts w:hint="eastAsia" w:ascii="仿宋_GB2312" w:hAnsi="仿宋_GB2312" w:cs="仿宋_GB2312"/>
                <w:bCs/>
                <w:color w:val="auto"/>
                <w:sz w:val="24"/>
                <w:szCs w:val="24"/>
                <w:lang w:eastAsia="zh-CN"/>
              </w:rPr>
              <w:t>必须是全新、未使用的产品，且在正常安装、使用和保养条件下，其使用寿命期内各项指标均达到质量要求。</w:t>
            </w:r>
            <w:r>
              <w:rPr>
                <w:rFonts w:hint="eastAsia" w:ascii="仿宋_GB2312" w:hAnsi="仿宋_GB2312" w:eastAsia="仿宋_GB2312" w:cs="仿宋_GB2312"/>
                <w:bCs/>
                <w:color w:val="auto"/>
                <w:sz w:val="24"/>
                <w:szCs w:val="24"/>
              </w:rPr>
              <w:br w:type="textWrapping"/>
            </w:r>
            <w:r>
              <w:rPr>
                <w:rFonts w:hint="eastAsia" w:ascii="仿宋_GB2312" w:hAnsi="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w:t>
            </w:r>
            <w:r>
              <w:rPr>
                <w:rFonts w:hint="eastAsia" w:ascii="仿宋_GB2312" w:hAnsi="仿宋_GB2312" w:cs="仿宋_GB2312"/>
                <w:bCs/>
                <w:color w:val="auto"/>
                <w:sz w:val="24"/>
                <w:szCs w:val="24"/>
                <w:lang w:eastAsia="zh-CN"/>
              </w:rPr>
              <w:t>供应商所</w:t>
            </w:r>
            <w:r>
              <w:rPr>
                <w:rFonts w:hint="eastAsia" w:ascii="仿宋_GB2312" w:hAnsi="仿宋_GB2312" w:eastAsia="仿宋_GB2312" w:cs="仿宋_GB2312"/>
                <w:bCs/>
                <w:color w:val="auto"/>
                <w:sz w:val="24"/>
              </w:rPr>
              <w:t>提供的货物产品</w:t>
            </w:r>
            <w:r>
              <w:rPr>
                <w:rFonts w:hint="eastAsia" w:ascii="仿宋_GB2312" w:hAnsi="仿宋_GB2312" w:eastAsia="仿宋_GB2312" w:cs="仿宋_GB2312"/>
                <w:bCs/>
                <w:color w:val="auto"/>
                <w:sz w:val="24"/>
                <w:szCs w:val="24"/>
              </w:rPr>
              <w:t>应符合国家有关部门规定的相应技术、节能、安全和环保标准；国家有关部门对</w:t>
            </w:r>
            <w:r>
              <w:rPr>
                <w:rFonts w:hint="eastAsia" w:ascii="仿宋_GB2312" w:hAnsi="仿宋_GB2312" w:cs="仿宋_GB2312"/>
                <w:bCs/>
                <w:color w:val="auto"/>
                <w:sz w:val="24"/>
                <w:szCs w:val="24"/>
                <w:lang w:eastAsia="zh-CN"/>
              </w:rPr>
              <w:t>所</w:t>
            </w:r>
            <w:r>
              <w:rPr>
                <w:rFonts w:hint="eastAsia" w:ascii="仿宋_GB2312" w:hAnsi="仿宋_GB2312" w:eastAsia="仿宋_GB2312" w:cs="仿宋_GB2312"/>
                <w:bCs/>
                <w:color w:val="auto"/>
                <w:sz w:val="24"/>
              </w:rPr>
              <w:t>提供的货物产品</w:t>
            </w:r>
            <w:r>
              <w:rPr>
                <w:rFonts w:hint="eastAsia" w:ascii="仿宋_GB2312" w:hAnsi="仿宋_GB2312" w:eastAsia="仿宋_GB2312" w:cs="仿宋_GB2312"/>
                <w:bCs/>
                <w:color w:val="auto"/>
                <w:sz w:val="24"/>
                <w:szCs w:val="24"/>
              </w:rPr>
              <w:t>有强制性规定或要求的，必须符合相应规定或要求。</w:t>
            </w:r>
            <w:r>
              <w:rPr>
                <w:rFonts w:hint="eastAsia" w:ascii="仿宋_GB2312" w:hAnsi="仿宋_GB2312" w:cs="仿宋_GB2312"/>
                <w:bCs/>
                <w:color w:val="auto"/>
                <w:sz w:val="24"/>
                <w:szCs w:val="24"/>
                <w:lang w:val="en-US" w:eastAsia="zh-CN"/>
              </w:rPr>
              <w:t xml:space="preserve">    </w:t>
            </w:r>
            <w:r>
              <w:rPr>
                <w:rFonts w:hint="eastAsia" w:ascii="仿宋_GB2312" w:hAnsi="仿宋_GB2312" w:cs="仿宋_GB2312"/>
                <w:bCs/>
                <w:color w:val="auto"/>
                <w:sz w:val="24"/>
                <w:lang w:val="en-US" w:eastAsia="zh-CN"/>
              </w:rPr>
              <w:t xml:space="preserve">                                                              </w:t>
            </w:r>
          </w:p>
        </w:tc>
        <w:tc>
          <w:tcPr>
            <w:tcW w:w="115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ind w:leftChars="0"/>
              <w:jc w:val="both"/>
              <w:rPr>
                <w:rFonts w:hint="eastAsia" w:ascii="仿宋_GB2312" w:hAnsi="仿宋_GB2312" w:cs="仿宋_GB2312"/>
                <w:bCs/>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质量保证期</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自验收合格后交付使用之日起</w:t>
            </w:r>
            <w:r>
              <w:rPr>
                <w:rFonts w:hint="eastAsia" w:ascii="仿宋_GB2312" w:hAnsi="仿宋_GB2312" w:cs="仿宋_GB2312"/>
                <w:bCs/>
                <w:color w:val="auto"/>
                <w:sz w:val="24"/>
                <w:highlight w:val="none"/>
                <w:lang w:val="en-US" w:eastAsia="zh-CN"/>
              </w:rPr>
              <w:t>1</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lang w:eastAsia="zh-CN"/>
              </w:rPr>
              <w:t>（采购需求</w:t>
            </w:r>
            <w:r>
              <w:rPr>
                <w:rFonts w:hint="eastAsia" w:ascii="仿宋_GB2312" w:hAnsi="仿宋_GB2312" w:eastAsia="仿宋_GB2312" w:cs="仿宋_GB2312"/>
                <w:bCs/>
                <w:color w:val="auto"/>
                <w:sz w:val="24"/>
              </w:rPr>
              <w:t>、项目技术规格参数及要求</w:t>
            </w:r>
            <w:r>
              <w:rPr>
                <w:rFonts w:hint="eastAsia" w:ascii="仿宋_GB2312" w:hAnsi="仿宋_GB2312" w:eastAsia="仿宋_GB2312" w:cs="仿宋_GB2312"/>
                <w:bCs/>
                <w:color w:val="auto"/>
                <w:sz w:val="24"/>
                <w:lang w:val="en-US" w:eastAsia="zh-CN"/>
              </w:rPr>
              <w:t>中另有要求的按采购需求</w:t>
            </w:r>
            <w:r>
              <w:rPr>
                <w:rFonts w:hint="eastAsia" w:ascii="仿宋_GB2312" w:hAnsi="仿宋_GB2312" w:eastAsia="仿宋_GB2312" w:cs="仿宋_GB2312"/>
                <w:bCs/>
                <w:color w:val="auto"/>
                <w:sz w:val="24"/>
                <w:lang w:eastAsia="zh-CN"/>
              </w:rPr>
              <w:t>要求执行）</w:t>
            </w:r>
            <w:r>
              <w:rPr>
                <w:rFonts w:hint="eastAsia" w:ascii="仿宋_GB2312" w:hAnsi="仿宋_GB2312" w:eastAsia="仿宋_GB2312" w:cs="仿宋_GB2312"/>
                <w:bCs/>
                <w:color w:val="auto"/>
                <w:sz w:val="24"/>
              </w:rPr>
              <w:t>。</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售后服务要求</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numPr>
                <w:ilvl w:val="0"/>
                <w:numId w:val="4"/>
              </w:num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成交供应商应所提供的货物产品必须是未使用过的全新产品；若产品质量存在缺陷，成交供应商免费在1个月内更换新产品。</w:t>
            </w:r>
          </w:p>
          <w:p>
            <w:pPr>
              <w:numPr>
                <w:ilvl w:val="0"/>
                <w:numId w:val="4"/>
              </w:num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成交供应商所提供的货物产品必须是按厂家标准配置的整套全新产品，按国家规定实行“三包”，免费送货上门、免费安装调试（附安装说明书）及人员培训，培训后采购人可熟悉基本操作；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auto"/>
                <w:sz w:val="24"/>
              </w:rPr>
              <w:br w:type="textWrapping"/>
            </w:r>
            <w:r>
              <w:rPr>
                <w:rFonts w:hint="eastAsia" w:ascii="仿宋_GB2312" w:hAnsi="仿宋_GB2312" w:cs="仿宋_GB2312"/>
                <w:bCs/>
                <w:color w:val="auto"/>
                <w:sz w:val="24"/>
                <w:lang w:val="en-US" w:eastAsia="zh-CN"/>
              </w:rPr>
              <w:t>3</w:t>
            </w:r>
            <w:r>
              <w:rPr>
                <w:rFonts w:hint="eastAsia" w:ascii="仿宋_GB2312" w:hAnsi="仿宋_GB2312" w:eastAsia="仿宋_GB2312" w:cs="仿宋_GB2312"/>
                <w:bCs/>
                <w:color w:val="auto"/>
                <w:sz w:val="24"/>
              </w:rPr>
              <w:t>.故障处理 ：</w:t>
            </w:r>
            <w:r>
              <w:rPr>
                <w:rFonts w:hint="eastAsia" w:ascii="仿宋_GB2312" w:hAnsi="仿宋_GB2312" w:eastAsia="仿宋_GB2312" w:cs="仿宋_GB2312"/>
                <w:bCs/>
                <w:color w:val="000000" w:themeColor="text1"/>
                <w:sz w:val="24"/>
                <w14:textFill>
                  <w14:solidFill>
                    <w14:schemeClr w14:val="tx1"/>
                  </w14:solidFill>
                </w14:textFill>
              </w:rPr>
              <w:t>提供7×24小时维修服务，并提供售后服务电话，在使用过程中（质量保证期内）出现损坏应在接到通知起2小时内响应，12小时内派技术人员到达现场维修，损坏修复时限不超过48小时,如超过时限无法排除损坏，投标人提供同等质量的产品供采购人使用。</w:t>
            </w:r>
            <w:r>
              <w:rPr>
                <w:rFonts w:hint="eastAsia" w:ascii="仿宋_GB2312" w:hAnsi="仿宋_GB2312" w:eastAsia="仿宋_GB2312" w:cs="仿宋_GB2312"/>
                <w:bCs/>
                <w:color w:val="000000" w:themeColor="text1"/>
                <w:sz w:val="24"/>
                <w14:textFill>
                  <w14:solidFill>
                    <w14:schemeClr w14:val="tx1"/>
                  </w14:solidFill>
                </w14:textFill>
              </w:rPr>
              <w:br w:type="textWrapping"/>
            </w:r>
            <w:r>
              <w:rPr>
                <w:rFonts w:hint="eastAsia" w:ascii="仿宋_GB2312" w:hAnsi="仿宋_GB2312" w:cs="仿宋_GB2312"/>
                <w:bCs/>
                <w:color w:val="auto"/>
                <w:sz w:val="24"/>
                <w:lang w:val="en-US" w:eastAsia="zh-CN"/>
              </w:rPr>
              <w:t>4</w:t>
            </w:r>
            <w:r>
              <w:rPr>
                <w:rFonts w:hint="eastAsia" w:ascii="仿宋_GB2312" w:hAnsi="仿宋_GB2312" w:eastAsia="仿宋_GB2312" w:cs="仿宋_GB2312"/>
                <w:bCs/>
                <w:color w:val="auto"/>
                <w:sz w:val="24"/>
              </w:rPr>
              <w:t>.成交供应商</w:t>
            </w:r>
            <w:r>
              <w:rPr>
                <w:rFonts w:hint="eastAsia" w:ascii="仿宋_GB2312" w:hAnsi="仿宋_GB2312" w:cs="仿宋_GB2312"/>
                <w:bCs/>
                <w:color w:val="auto"/>
                <w:sz w:val="24"/>
                <w:lang w:eastAsia="zh-CN"/>
              </w:rPr>
              <w:t>应在</w:t>
            </w:r>
            <w:r>
              <w:rPr>
                <w:rFonts w:hint="eastAsia" w:ascii="仿宋_GB2312" w:hAnsi="仿宋_GB2312" w:eastAsia="仿宋_GB2312" w:cs="仿宋_GB2312"/>
                <w:bCs/>
                <w:color w:val="auto"/>
                <w:sz w:val="24"/>
              </w:rPr>
              <w:t>质量保证期内免费提供维修服务（含人工费、配件费、差旅费等各项费用），所更换的所有零配件全部使用原厂配件；保修期以外一律按</w:t>
            </w:r>
            <w:r>
              <w:rPr>
                <w:rFonts w:hint="eastAsia" w:ascii="仿宋_GB2312" w:hAnsi="仿宋_GB2312" w:cs="仿宋_GB2312"/>
                <w:bCs/>
                <w:color w:val="auto"/>
                <w:sz w:val="24"/>
                <w:lang w:eastAsia="zh-CN"/>
              </w:rPr>
              <w:t>响应</w:t>
            </w:r>
            <w:r>
              <w:rPr>
                <w:rFonts w:hint="eastAsia" w:ascii="仿宋_GB2312" w:hAnsi="仿宋_GB2312" w:eastAsia="仿宋_GB2312" w:cs="仿宋_GB2312"/>
                <w:bCs/>
                <w:color w:val="auto"/>
                <w:sz w:val="24"/>
              </w:rPr>
              <w:t>文件承诺的优惠价收费，提供终身上门维修服务。采购人发现产品存在制造上的缺陷，</w:t>
            </w:r>
            <w:r>
              <w:rPr>
                <w:rFonts w:hint="eastAsia" w:ascii="仿宋_GB2312" w:hAnsi="仿宋_GB2312" w:cs="仿宋_GB2312"/>
                <w:bCs/>
                <w:color w:val="auto"/>
                <w:sz w:val="24"/>
                <w:lang w:eastAsia="zh-CN"/>
              </w:rPr>
              <w:t>成交</w:t>
            </w:r>
            <w:r>
              <w:rPr>
                <w:rFonts w:hint="eastAsia" w:ascii="仿宋_GB2312" w:hAnsi="仿宋_GB2312" w:eastAsia="仿宋_GB2312" w:cs="仿宋_GB2312"/>
                <w:bCs/>
                <w:color w:val="auto"/>
                <w:sz w:val="24"/>
              </w:rPr>
              <w:t>供应商应负责采取补救措施，若该缺陷导致产品存在安全隐患或不能使用的，</w:t>
            </w:r>
            <w:r>
              <w:rPr>
                <w:rFonts w:hint="eastAsia" w:ascii="仿宋_GB2312" w:hAnsi="仿宋_GB2312" w:cs="仿宋_GB2312"/>
                <w:bCs/>
                <w:color w:val="auto"/>
                <w:sz w:val="24"/>
                <w:lang w:eastAsia="zh-CN"/>
              </w:rPr>
              <w:t>成交</w:t>
            </w:r>
            <w:r>
              <w:rPr>
                <w:rFonts w:hint="eastAsia" w:ascii="仿宋_GB2312" w:hAnsi="仿宋_GB2312" w:eastAsia="仿宋_GB2312" w:cs="仿宋_GB2312"/>
                <w:bCs/>
                <w:color w:val="auto"/>
                <w:sz w:val="24"/>
              </w:rPr>
              <w:t>供应商应负责免费更换整件产品。</w:t>
            </w:r>
          </w:p>
        </w:tc>
        <w:tc>
          <w:tcPr>
            <w:tcW w:w="115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cs="仿宋_GB2312"/>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交货时间及地点</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auto"/>
                <w:sz w:val="24"/>
                <w:lang w:val="en-US" w:eastAsia="zh-CN"/>
              </w:rPr>
            </w:pPr>
            <w:r>
              <w:rPr>
                <w:rFonts w:hint="eastAsia" w:ascii="仿宋_GB2312" w:hAnsi="仿宋_GB2312" w:cs="仿宋_GB2312"/>
                <w:bCs/>
                <w:color w:val="auto"/>
                <w:sz w:val="24"/>
                <w:lang w:val="en-US" w:eastAsia="zh-CN"/>
              </w:rPr>
              <w:t>1.</w:t>
            </w:r>
            <w:r>
              <w:rPr>
                <w:rFonts w:hint="eastAsia" w:ascii="仿宋_GB2312" w:hAnsi="仿宋_GB2312" w:eastAsia="仿宋_GB2312" w:cs="仿宋_GB2312"/>
                <w:bCs/>
                <w:color w:val="auto"/>
                <w:sz w:val="24"/>
              </w:rPr>
              <w:t>交货时间：自签订合同之日起</w:t>
            </w:r>
            <w:r>
              <w:rPr>
                <w:rFonts w:hint="eastAsia" w:ascii="仿宋_GB2312" w:hAnsi="仿宋_GB2312" w:cs="仿宋_GB2312"/>
                <w:bCs/>
                <w:color w:val="auto"/>
                <w:sz w:val="24"/>
                <w:lang w:val="en-US" w:eastAsia="zh-CN"/>
              </w:rPr>
              <w:t>10</w:t>
            </w:r>
            <w:r>
              <w:rPr>
                <w:rFonts w:hint="eastAsia" w:ascii="仿宋_GB2312" w:hAnsi="仿宋_GB2312" w:eastAsia="仿宋_GB2312" w:cs="仿宋_GB2312"/>
                <w:bCs/>
                <w:color w:val="auto"/>
                <w:sz w:val="24"/>
              </w:rPr>
              <w:t>日内安装调试完毕，验收合格并交付使用；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w:t>
            </w:r>
            <w:r>
              <w:rPr>
                <w:rFonts w:hint="eastAsia" w:ascii="仿宋_GB2312" w:hAnsi="仿宋_GB2312" w:cs="仿宋_GB2312"/>
                <w:bCs/>
                <w:color w:val="auto"/>
                <w:sz w:val="24"/>
                <w:lang w:val="en-US" w:eastAsia="zh-CN"/>
              </w:rPr>
              <w:t>.交货方式：现场交货，免费送货上门；不接受物流或者快递送货，发物流或者快递的需要供应商自己来接货，送到指定地点并负责卸货。</w:t>
            </w:r>
          </w:p>
          <w:p>
            <w:pPr>
              <w:numPr>
                <w:ilvl w:val="0"/>
                <w:numId w:val="0"/>
              </w:numPr>
              <w:spacing w:line="440" w:lineRule="exact"/>
              <w:jc w:val="left"/>
              <w:rPr>
                <w:rFonts w:hint="eastAsia" w:ascii="仿宋_GB2312" w:hAnsi="仿宋_GB2312" w:eastAsia="仿宋_GB2312" w:cs="仿宋_GB2312"/>
                <w:bCs/>
                <w:color w:val="auto"/>
                <w:sz w:val="24"/>
                <w:lang w:eastAsia="zh-CN"/>
              </w:rPr>
            </w:pPr>
            <w:r>
              <w:rPr>
                <w:rFonts w:hint="eastAsia" w:ascii="仿宋_GB2312" w:hAnsi="仿宋_GB2312" w:cs="仿宋_GB2312"/>
                <w:bCs/>
                <w:color w:val="auto"/>
                <w:sz w:val="24"/>
                <w:lang w:val="en-US" w:eastAsia="zh-CN"/>
              </w:rPr>
              <w:t>3.</w:t>
            </w:r>
            <w:r>
              <w:rPr>
                <w:rFonts w:hint="eastAsia" w:ascii="仿宋_GB2312" w:hAnsi="仿宋_GB2312" w:eastAsia="仿宋_GB2312" w:cs="仿宋_GB2312"/>
                <w:bCs/>
                <w:color w:val="auto"/>
                <w:sz w:val="24"/>
              </w:rPr>
              <w:t>交货地点：采购人指定地点</w:t>
            </w:r>
            <w:r>
              <w:rPr>
                <w:rFonts w:hint="eastAsia" w:ascii="仿宋_GB2312" w:hAnsi="仿宋_GB2312" w:cs="仿宋_GB2312"/>
                <w:bCs/>
                <w:color w:val="auto"/>
                <w:sz w:val="24"/>
                <w:lang w:eastAsia="zh-CN"/>
              </w:rPr>
              <w:t>。</w:t>
            </w:r>
          </w:p>
        </w:tc>
        <w:tc>
          <w:tcPr>
            <w:tcW w:w="115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cs="仿宋_GB2312"/>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付款方式</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本项目无预付款，全部货物</w:t>
            </w:r>
            <w:r>
              <w:rPr>
                <w:rFonts w:hint="eastAsia" w:ascii="仿宋_GB2312" w:hAnsi="仿宋_GB2312" w:cs="仿宋_GB2312"/>
                <w:bCs/>
                <w:color w:val="auto"/>
                <w:sz w:val="24"/>
                <w:lang w:eastAsia="zh-CN"/>
              </w:rPr>
              <w:t>产品</w:t>
            </w:r>
            <w:r>
              <w:rPr>
                <w:rFonts w:hint="eastAsia" w:ascii="仿宋_GB2312" w:hAnsi="仿宋_GB2312" w:eastAsia="仿宋_GB2312" w:cs="仿宋_GB2312"/>
                <w:bCs/>
                <w:color w:val="auto"/>
                <w:sz w:val="24"/>
              </w:rPr>
              <w:t>到货安装且验收合格后，成交供应商</w:t>
            </w:r>
            <w:r>
              <w:rPr>
                <w:rFonts w:hint="eastAsia" w:ascii="仿宋_GB2312" w:hAnsi="仿宋_GB2312" w:cs="仿宋_GB2312"/>
                <w:bCs/>
                <w:color w:val="auto"/>
                <w:sz w:val="24"/>
                <w:lang w:eastAsia="zh-CN"/>
              </w:rPr>
              <w:t>应</w:t>
            </w:r>
            <w:r>
              <w:rPr>
                <w:rFonts w:hint="eastAsia" w:ascii="仿宋_GB2312" w:hAnsi="仿宋_GB2312" w:eastAsia="仿宋_GB2312" w:cs="仿宋_GB2312"/>
                <w:bCs/>
                <w:color w:val="auto"/>
                <w:sz w:val="24"/>
              </w:rPr>
              <w:t>开具增值税普通发票，采购人收到发票且经财政审批该项目用款计划后以银行转账方式向成交供应商一次性支付全部结算费用（不计利息）。采购人未收到发票的，有权不予支付相应款项直至成交供应商提供合格发票。</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备品备件及耗材等要求</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numPr>
                <w:ilvl w:val="0"/>
                <w:numId w:val="5"/>
              </w:numPr>
              <w:spacing w:line="440" w:lineRule="exact"/>
              <w:jc w:val="left"/>
              <w:rPr>
                <w:rFonts w:hint="eastAsia" w:ascii="仿宋_GB2312" w:hAnsi="仿宋_GB2312" w:eastAsia="仿宋_GB2312" w:cs="仿宋_GB2312"/>
                <w:bCs/>
                <w:color w:val="auto"/>
                <w:sz w:val="24"/>
                <w:lang w:eastAsia="zh-CN"/>
              </w:rPr>
            </w:pPr>
            <w:r>
              <w:rPr>
                <w:rFonts w:hint="eastAsia" w:ascii="仿宋_GB2312" w:hAnsi="仿宋_GB2312" w:cs="仿宋_GB2312"/>
                <w:bCs/>
                <w:color w:val="auto"/>
                <w:sz w:val="24"/>
                <w:lang w:eastAsia="zh-CN"/>
              </w:rPr>
              <w:t>供应商</w:t>
            </w:r>
            <w:r>
              <w:rPr>
                <w:rFonts w:hint="eastAsia" w:ascii="仿宋_GB2312" w:hAnsi="仿宋_GB2312" w:eastAsia="仿宋_GB2312" w:cs="仿宋_GB2312"/>
                <w:bCs/>
                <w:color w:val="auto"/>
                <w:sz w:val="24"/>
              </w:rPr>
              <w:t>所提供零部件、配件及安装材料必须是符合国家规定质量安全标准的全新、合格产品；该项费用应包含在报价中；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w:t>
            </w:r>
            <w:r>
              <w:rPr>
                <w:rFonts w:hint="eastAsia" w:ascii="仿宋_GB2312" w:hAnsi="仿宋_GB2312" w:cs="仿宋_GB2312"/>
                <w:bCs/>
                <w:color w:val="auto"/>
                <w:sz w:val="24"/>
                <w:lang w:eastAsia="zh-CN"/>
              </w:rPr>
              <w:t>供应商</w:t>
            </w:r>
            <w:r>
              <w:rPr>
                <w:rFonts w:hint="eastAsia" w:ascii="仿宋_GB2312" w:hAnsi="仿宋_GB2312" w:eastAsia="仿宋_GB2312" w:cs="仿宋_GB2312"/>
                <w:bCs/>
                <w:color w:val="auto"/>
                <w:sz w:val="24"/>
              </w:rPr>
              <w:t>所提供完整的全套设备须包括必备的易损耗备件和专用工具；</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3.</w:t>
            </w:r>
            <w:r>
              <w:rPr>
                <w:rFonts w:hint="eastAsia" w:ascii="仿宋_GB2312" w:hAnsi="仿宋_GB2312" w:cs="仿宋_GB2312"/>
                <w:bCs/>
                <w:color w:val="auto"/>
                <w:sz w:val="24"/>
                <w:lang w:eastAsia="zh-CN"/>
              </w:rPr>
              <w:t>供应商</w:t>
            </w:r>
            <w:r>
              <w:rPr>
                <w:rFonts w:hint="eastAsia" w:ascii="仿宋_GB2312" w:hAnsi="仿宋_GB2312" w:eastAsia="仿宋_GB2312" w:cs="仿宋_GB2312"/>
                <w:bCs/>
                <w:color w:val="auto"/>
                <w:sz w:val="24"/>
              </w:rPr>
              <w:t>必须有完善的备品备件库体系，质保期内能提供相应的免费的措施和配件，保证过质保期后五年内有足够的备品备件，为完成本项目技术支持、服务需求提供可靠保证</w:t>
            </w:r>
            <w:r>
              <w:rPr>
                <w:rFonts w:hint="eastAsia" w:ascii="仿宋_GB2312" w:hAnsi="仿宋_GB2312" w:eastAsia="仿宋_GB2312" w:cs="仿宋_GB2312"/>
                <w:bCs/>
                <w:color w:val="auto"/>
                <w:sz w:val="24"/>
                <w:lang w:val="en-US" w:eastAsia="zh-CN"/>
              </w:rPr>
              <w:t>。</w:t>
            </w:r>
          </w:p>
        </w:tc>
        <w:tc>
          <w:tcPr>
            <w:tcW w:w="1155"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440" w:lineRule="exact"/>
              <w:jc w:val="left"/>
              <w:rPr>
                <w:rFonts w:hint="eastAsia" w:ascii="仿宋_GB2312" w:hAnsi="仿宋_GB2312" w:cs="仿宋_GB2312"/>
                <w:bCs/>
                <w:color w:val="auto"/>
                <w:sz w:val="52"/>
                <w:szCs w:val="5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97" w:type="dxa"/>
            <w:gridSpan w:val="5"/>
            <w:tcBorders>
              <w:top w:val="single" w:color="auto" w:sz="4" w:space="0"/>
              <w:left w:val="single" w:color="auto" w:sz="4" w:space="0"/>
              <w:bottom w:val="single" w:color="auto" w:sz="4" w:space="0"/>
              <w:right w:val="single" w:color="auto" w:sz="4" w:space="0"/>
            </w:tcBorders>
            <w:vAlign w:val="center"/>
          </w:tcPr>
          <w:p>
            <w:pPr>
              <w:pStyle w:val="8"/>
              <w:snapToGrid w:val="0"/>
              <w:spacing w:line="400" w:lineRule="exact"/>
              <w:ind w:right="42" w:rightChars="13"/>
              <w:rPr>
                <w:rFonts w:hint="eastAsia" w:eastAsia="仿宋_GB2312" w:cs="仿宋_GB2312" w:asciiTheme="minorHAnsi" w:hAnsiTheme="minorHAnsi"/>
                <w:bCs/>
                <w:color w:val="auto"/>
                <w:sz w:val="24"/>
                <w:lang w:val="en-GB"/>
              </w:rPr>
            </w:pPr>
            <w:r>
              <w:rPr>
                <w:rFonts w:ascii="仿宋_GB2312" w:hAnsi="宋体" w:eastAsia="仿宋_GB2312" w:cs="宋体"/>
                <w:b/>
                <w:color w:val="auto"/>
                <w:kern w:val="0"/>
                <w:sz w:val="24"/>
              </w:rPr>
              <w:t>★</w:t>
            </w:r>
            <w:r>
              <w:rPr>
                <w:rFonts w:hint="eastAsia" w:ascii="仿宋_GB2312" w:hAnsi="宋体" w:eastAsia="仿宋_GB2312" w:cs="Arial"/>
                <w:b/>
                <w:bCs/>
                <w:color w:val="auto"/>
                <w:sz w:val="24"/>
                <w:szCs w:val="24"/>
              </w:rPr>
              <w:t>三、</w:t>
            </w:r>
            <w:r>
              <w:rPr>
                <w:rFonts w:hint="eastAsia" w:ascii="仿宋_GB2312" w:hAnsi="宋体" w:eastAsia="仿宋_GB2312"/>
                <w:b/>
                <w:color w:val="auto"/>
                <w:sz w:val="24"/>
              </w:rPr>
              <w:t>验收要求</w:t>
            </w:r>
          </w:p>
        </w:tc>
        <w:tc>
          <w:tcPr>
            <w:tcW w:w="1155" w:type="dxa"/>
            <w:tcBorders>
              <w:top w:val="single" w:color="auto" w:sz="4" w:space="0"/>
              <w:left w:val="single" w:color="auto" w:sz="4" w:space="0"/>
              <w:bottom w:val="single" w:color="auto" w:sz="4" w:space="0"/>
              <w:right w:val="single" w:color="auto" w:sz="4" w:space="0"/>
            </w:tcBorders>
            <w:vAlign w:val="center"/>
          </w:tcPr>
          <w:p>
            <w:pPr>
              <w:pStyle w:val="8"/>
              <w:snapToGrid w:val="0"/>
              <w:spacing w:line="400" w:lineRule="exact"/>
              <w:ind w:right="42" w:rightChars="13"/>
              <w:rPr>
                <w:rFonts w:ascii="仿宋_GB2312" w:hAnsi="宋体" w:eastAsia="仿宋_GB2312"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ascii="仿宋_GB2312" w:hAnsi="仿宋_GB2312" w:eastAsia="仿宋_GB2312" w:cs="仿宋_GB2312"/>
                <w:bCs/>
                <w:color w:val="auto"/>
                <w:sz w:val="24"/>
              </w:rPr>
              <w:t>验收标准及要求</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auto"/>
                <w:sz w:val="24"/>
                <w:lang w:eastAsia="zh-CN"/>
              </w:rPr>
            </w:pPr>
            <w:r>
              <w:rPr>
                <w:rFonts w:ascii="仿宋_GB2312" w:hAnsi="仿宋_GB2312" w:eastAsia="仿宋_GB2312" w:cs="仿宋_GB2312"/>
                <w:bCs/>
                <w:color w:val="auto"/>
                <w:sz w:val="24"/>
              </w:rPr>
              <w:t>1.国家强制性技术标准及有关规定；
</w:t>
            </w:r>
            <w:r>
              <w:rPr>
                <w:rFonts w:ascii="仿宋_GB2312" w:hAnsi="仿宋_GB2312" w:eastAsia="仿宋_GB2312" w:cs="仿宋_GB2312"/>
                <w:bCs/>
                <w:color w:val="auto"/>
                <w:sz w:val="24"/>
              </w:rPr>
              <w:br w:type="textWrapping"/>
            </w:r>
            <w:r>
              <w:rPr>
                <w:rFonts w:ascii="仿宋_GB2312" w:hAnsi="仿宋_GB2312" w:eastAsia="仿宋_GB2312" w:cs="仿宋_GB2312"/>
                <w:bCs/>
                <w:color w:val="auto"/>
                <w:sz w:val="24"/>
              </w:rPr>
              <w:t>2.交货验收时，采购人根据《广西壮族自治区政府采购项目履约验收管理办法》的规定，由采购人及</w:t>
            </w:r>
            <w:r>
              <w:rPr>
                <w:rFonts w:hint="eastAsia" w:ascii="仿宋_GB2312" w:hAnsi="仿宋_GB2312" w:eastAsia="仿宋_GB2312" w:cs="仿宋_GB2312"/>
                <w:bCs/>
                <w:color w:val="auto"/>
                <w:sz w:val="24"/>
                <w:lang w:eastAsia="zh-CN"/>
              </w:rPr>
              <w:t>成交供应商</w:t>
            </w:r>
            <w:r>
              <w:rPr>
                <w:rFonts w:ascii="仿宋_GB2312" w:hAnsi="仿宋_GB2312" w:eastAsia="仿宋_GB2312" w:cs="仿宋_GB2312"/>
                <w:bCs/>
                <w:color w:val="auto"/>
                <w:sz w:val="24"/>
              </w:rPr>
              <w:t>双方共同进行验收。必要时可委托国家认可的质量检测机构开展采购项目验收工作；
</w:t>
            </w:r>
            <w:r>
              <w:rPr>
                <w:rFonts w:ascii="仿宋_GB2312" w:hAnsi="仿宋_GB2312" w:eastAsia="仿宋_GB2312" w:cs="仿宋_GB2312"/>
                <w:bCs/>
                <w:color w:val="auto"/>
                <w:sz w:val="24"/>
              </w:rPr>
              <w:br w:type="textWrapping"/>
            </w:r>
            <w:r>
              <w:rPr>
                <w:rFonts w:ascii="仿宋_GB2312" w:hAnsi="仿宋_GB2312" w:eastAsia="仿宋_GB2312" w:cs="仿宋_GB2312"/>
                <w:bCs/>
                <w:color w:val="auto"/>
                <w:sz w:val="24"/>
              </w:rPr>
              <w:t>3.本项目因</w:t>
            </w:r>
            <w:r>
              <w:rPr>
                <w:rFonts w:hint="eastAsia" w:ascii="仿宋_GB2312" w:hAnsi="仿宋_GB2312" w:eastAsia="仿宋_GB2312" w:cs="仿宋_GB2312"/>
                <w:bCs/>
                <w:color w:val="auto"/>
                <w:sz w:val="24"/>
                <w:lang w:eastAsia="zh-CN"/>
              </w:rPr>
              <w:t>成交供应商</w:t>
            </w:r>
            <w:r>
              <w:rPr>
                <w:rFonts w:ascii="仿宋_GB2312" w:hAnsi="仿宋_GB2312" w:eastAsia="仿宋_GB2312" w:cs="仿宋_GB2312"/>
                <w:bCs/>
                <w:color w:val="auto"/>
                <w:sz w:val="24"/>
              </w:rPr>
              <w:t>提供的货物</w:t>
            </w:r>
            <w:r>
              <w:rPr>
                <w:rFonts w:hint="eastAsia" w:ascii="仿宋_GB2312" w:hAnsi="仿宋_GB2312" w:cs="仿宋_GB2312"/>
                <w:bCs/>
                <w:color w:val="auto"/>
                <w:sz w:val="24"/>
                <w:lang w:eastAsia="zh-CN"/>
              </w:rPr>
              <w:t>产品</w:t>
            </w:r>
            <w:r>
              <w:rPr>
                <w:rFonts w:ascii="仿宋_GB2312" w:hAnsi="仿宋_GB2312" w:eastAsia="仿宋_GB2312" w:cs="仿宋_GB2312"/>
                <w:bCs/>
                <w:color w:val="auto"/>
                <w:sz w:val="24"/>
              </w:rPr>
              <w:t>不能满足采购需求的技术参数或其</w:t>
            </w:r>
            <w:r>
              <w:rPr>
                <w:rFonts w:hint="eastAsia" w:ascii="仿宋_GB2312" w:hAnsi="仿宋_GB2312" w:cs="仿宋_GB2312"/>
                <w:bCs/>
                <w:color w:val="auto"/>
                <w:sz w:val="24"/>
                <w:lang w:eastAsia="zh-CN"/>
              </w:rPr>
              <w:t>响应</w:t>
            </w:r>
            <w:r>
              <w:rPr>
                <w:rFonts w:ascii="仿宋_GB2312" w:hAnsi="仿宋_GB2312" w:eastAsia="仿宋_GB2312" w:cs="仿宋_GB2312"/>
                <w:bCs/>
                <w:color w:val="auto"/>
                <w:sz w:val="24"/>
              </w:rPr>
              <w:t>文件承诺等原因无法通过验收，造成不能按时、按质、按量完成项目要求的，将按照《中华人民共和国政府采购法》等法律法规由</w:t>
            </w:r>
            <w:r>
              <w:rPr>
                <w:rFonts w:hint="eastAsia" w:ascii="仿宋_GB2312" w:hAnsi="仿宋_GB2312" w:eastAsia="仿宋_GB2312" w:cs="仿宋_GB2312"/>
                <w:bCs/>
                <w:color w:val="auto"/>
                <w:sz w:val="24"/>
                <w:lang w:eastAsia="zh-CN"/>
              </w:rPr>
              <w:t>成交供应商</w:t>
            </w:r>
            <w:r>
              <w:rPr>
                <w:rFonts w:ascii="仿宋_GB2312" w:hAnsi="仿宋_GB2312" w:eastAsia="仿宋_GB2312" w:cs="仿宋_GB2312"/>
                <w:bCs/>
                <w:color w:val="auto"/>
                <w:sz w:val="24"/>
              </w:rPr>
              <w:t>承担相应的法律责任；
</w:t>
            </w:r>
            <w:r>
              <w:rPr>
                <w:rFonts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lang w:eastAsia="zh-CN"/>
              </w:rPr>
              <w:t>4.为保障项目建设交付效率及质量</w:t>
            </w:r>
            <w:r>
              <w:rPr>
                <w:rFonts w:hint="eastAsia" w:ascii="仿宋_GB2312" w:hAnsi="仿宋_GB2312" w:cs="仿宋_GB2312"/>
                <w:bCs/>
                <w:color w:val="auto"/>
                <w:sz w:val="24"/>
                <w:lang w:eastAsia="zh-CN"/>
              </w:rPr>
              <w:t>，</w:t>
            </w:r>
            <w:r>
              <w:rPr>
                <w:rFonts w:hint="eastAsia" w:ascii="仿宋_GB2312" w:hAnsi="仿宋_GB2312" w:eastAsia="仿宋_GB2312" w:cs="仿宋_GB2312"/>
                <w:bCs/>
                <w:color w:val="auto"/>
                <w:sz w:val="24"/>
                <w:lang w:eastAsia="zh-CN"/>
              </w:rPr>
              <w:t>采购人应当及时对采购项目进行验收，采购人可以邀请参加本项目的其他</w:t>
            </w:r>
            <w:r>
              <w:rPr>
                <w:rFonts w:hint="eastAsia" w:ascii="仿宋_GB2312" w:hAnsi="仿宋_GB2312" w:cs="仿宋_GB2312"/>
                <w:bCs/>
                <w:color w:val="auto"/>
                <w:sz w:val="24"/>
                <w:lang w:eastAsia="zh-CN"/>
              </w:rPr>
              <w:t>供应商</w:t>
            </w:r>
            <w:r>
              <w:rPr>
                <w:rFonts w:hint="eastAsia" w:ascii="仿宋_GB2312" w:hAnsi="仿宋_GB2312" w:eastAsia="仿宋_GB2312" w:cs="仿宋_GB2312"/>
                <w:bCs/>
                <w:color w:val="auto"/>
                <w:sz w:val="24"/>
                <w:lang w:eastAsia="zh-CN"/>
              </w:rPr>
              <w:t>或第三方机构参与验收，与验收的</w:t>
            </w:r>
            <w:r>
              <w:rPr>
                <w:rFonts w:hint="eastAsia" w:ascii="仿宋_GB2312" w:hAnsi="仿宋_GB2312" w:cs="仿宋_GB2312"/>
                <w:bCs/>
                <w:color w:val="auto"/>
                <w:sz w:val="24"/>
                <w:lang w:eastAsia="zh-CN"/>
              </w:rPr>
              <w:t>供应商</w:t>
            </w:r>
            <w:r>
              <w:rPr>
                <w:rFonts w:hint="eastAsia" w:ascii="仿宋_GB2312" w:hAnsi="仿宋_GB2312" w:eastAsia="仿宋_GB2312" w:cs="仿宋_GB2312"/>
                <w:bCs/>
                <w:color w:val="auto"/>
                <w:sz w:val="24"/>
                <w:lang w:eastAsia="zh-CN"/>
              </w:rPr>
              <w:t>或者第三方机构的意见作为验收书的参考资料一并存档；</w:t>
            </w:r>
          </w:p>
          <w:p>
            <w:pPr>
              <w:spacing w:line="440" w:lineRule="exact"/>
              <w:jc w:val="left"/>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5.实际货物或服务技术参数与成交供应商响应文件中技术响应表、商务响应表或证明材料一致，性能或指标达到采购文件中的技术要求。否则，以实际货物或服务的技术参数与响应文件技术响应表、商务响应表或证明材料比较，按如下情况处理：</w:t>
            </w:r>
          </w:p>
          <w:p>
            <w:pPr>
              <w:spacing w:line="440" w:lineRule="exact"/>
              <w:jc w:val="left"/>
              <w:rPr>
                <w:rFonts w:hint="eastAsia" w:ascii="仿宋_GB2312" w:hAnsi="仿宋_GB2312" w:eastAsia="仿宋_GB2312" w:cs="仿宋_GB2312"/>
                <w:bCs/>
                <w:color w:val="auto"/>
                <w:sz w:val="24"/>
                <w:lang w:eastAsia="zh-CN"/>
              </w:rPr>
            </w:pPr>
            <w:r>
              <w:rPr>
                <w:rFonts w:hint="eastAsia" w:ascii="仿宋_GB2312" w:hAnsi="仿宋_GB2312" w:cs="仿宋_GB2312"/>
                <w:bCs/>
                <w:color w:val="auto"/>
                <w:sz w:val="24"/>
                <w:lang w:eastAsia="zh-CN"/>
              </w:rPr>
              <w:t>（</w:t>
            </w:r>
            <w:r>
              <w:rPr>
                <w:rFonts w:hint="eastAsia" w:ascii="仿宋_GB2312" w:hAnsi="仿宋_GB2312" w:cs="仿宋_GB2312"/>
                <w:bCs/>
                <w:color w:val="auto"/>
                <w:sz w:val="24"/>
                <w:lang w:val="en-US" w:eastAsia="zh-CN"/>
              </w:rPr>
              <w:t>1</w:t>
            </w:r>
            <w:r>
              <w:rPr>
                <w:rFonts w:hint="eastAsia" w:ascii="仿宋_GB2312" w:hAnsi="仿宋_GB2312" w:cs="仿宋_GB2312"/>
                <w:bCs/>
                <w:color w:val="auto"/>
                <w:sz w:val="24"/>
                <w:lang w:eastAsia="zh-CN"/>
              </w:rPr>
              <w:t>）</w:t>
            </w:r>
            <w:r>
              <w:rPr>
                <w:rFonts w:hint="eastAsia" w:ascii="仿宋_GB2312" w:hAnsi="仿宋_GB2312" w:eastAsia="仿宋_GB2312" w:cs="仿宋_GB2312"/>
                <w:bCs/>
                <w:color w:val="auto"/>
                <w:sz w:val="24"/>
                <w:lang w:eastAsia="zh-CN"/>
              </w:rPr>
              <w:t>成交供应商响应文件技术响应表、商务响应表或证明材料中满足或优于的技术参数，在验收时实际不满足采购文件中的技术要求或者仅满足并未优于技术要求的，视为成交供应商违约，采购人有权终止合同拒收货物，并追究成交供应商责任，同时报财政部门备案。</w:t>
            </w:r>
          </w:p>
          <w:p>
            <w:pPr>
              <w:spacing w:line="440" w:lineRule="exact"/>
              <w:jc w:val="left"/>
              <w:rPr>
                <w:rFonts w:hint="eastAsia" w:ascii="仿宋_GB2312" w:hAnsi="仿宋_GB2312" w:eastAsia="仿宋_GB2312" w:cs="仿宋_GB2312"/>
                <w:bCs/>
                <w:color w:val="auto"/>
                <w:sz w:val="24"/>
                <w:lang w:eastAsia="zh-CN"/>
              </w:rPr>
            </w:pPr>
            <w:r>
              <w:rPr>
                <w:rFonts w:hint="eastAsia" w:ascii="仿宋_GB2312" w:hAnsi="仿宋_GB2312" w:cs="仿宋_GB2312"/>
                <w:bCs/>
                <w:color w:val="auto"/>
                <w:sz w:val="24"/>
                <w:lang w:eastAsia="zh-CN"/>
              </w:rPr>
              <w:t>（</w:t>
            </w:r>
            <w:r>
              <w:rPr>
                <w:rFonts w:hint="eastAsia" w:ascii="仿宋_GB2312" w:hAnsi="仿宋_GB2312" w:cs="仿宋_GB2312"/>
                <w:bCs/>
                <w:color w:val="auto"/>
                <w:sz w:val="24"/>
                <w:lang w:val="en-US" w:eastAsia="zh-CN"/>
              </w:rPr>
              <w:t>2</w:t>
            </w:r>
            <w:r>
              <w:rPr>
                <w:rFonts w:hint="eastAsia" w:ascii="仿宋_GB2312" w:hAnsi="仿宋_GB2312" w:cs="仿宋_GB2312"/>
                <w:bCs/>
                <w:color w:val="auto"/>
                <w:sz w:val="24"/>
                <w:lang w:eastAsia="zh-CN"/>
              </w:rPr>
              <w:t>）</w:t>
            </w:r>
            <w:r>
              <w:rPr>
                <w:rFonts w:hint="eastAsia" w:ascii="仿宋_GB2312" w:hAnsi="仿宋_GB2312" w:eastAsia="仿宋_GB2312" w:cs="仿宋_GB2312"/>
                <w:bCs/>
                <w:color w:val="auto"/>
                <w:sz w:val="24"/>
                <w:lang w:eastAsia="zh-CN"/>
              </w:rPr>
              <w:t>实际货物与响应货物型号不一致的，验收时不论实际是优于还是满足技术参数的要求，采购人均有权终止合同拒收货物。如影响货物或服务的使用、质量、档次及采购人需求的，视为成交供应商违约，追究成交供应商责任，同时报财政部门备案。</w:t>
            </w:r>
          </w:p>
          <w:p>
            <w:pPr>
              <w:spacing w:line="440" w:lineRule="exact"/>
              <w:ind w:right="0" w:rightChars="0"/>
              <w:jc w:val="left"/>
              <w:rPr>
                <w:rFonts w:hint="eastAsia" w:ascii="仿宋_GB2312" w:hAnsi="仿宋_GB2312" w:eastAsia="仿宋_GB2312" w:cs="仿宋_GB2312"/>
                <w:bCs/>
                <w:color w:val="auto"/>
                <w:sz w:val="24"/>
                <w:lang w:eastAsia="zh-CN"/>
              </w:rPr>
            </w:pPr>
            <w:r>
              <w:rPr>
                <w:rFonts w:hint="eastAsia" w:ascii="仿宋_GB2312" w:hAnsi="仿宋_GB2312" w:cs="仿宋_GB2312"/>
                <w:bCs/>
                <w:color w:val="auto"/>
                <w:sz w:val="24"/>
                <w:lang w:val="en-US" w:eastAsia="zh-CN"/>
              </w:rPr>
              <w:t>6</w:t>
            </w:r>
            <w:r>
              <w:rPr>
                <w:rFonts w:hint="eastAsia" w:ascii="仿宋_GB2312" w:hAnsi="仿宋_GB2312" w:eastAsia="仿宋_GB2312" w:cs="仿宋_GB2312"/>
                <w:bCs/>
                <w:color w:val="auto"/>
                <w:sz w:val="24"/>
                <w:lang w:eastAsia="zh-CN"/>
              </w:rPr>
              <w:t>.验收费用：验收所产生的检验费及相关的全部费用均由成交供应商承担。</w:t>
            </w:r>
          </w:p>
          <w:p>
            <w:pPr>
              <w:spacing w:line="440" w:lineRule="exact"/>
              <w:rPr>
                <w:rFonts w:hint="eastAsia" w:ascii="仿宋_GB2312" w:hAnsi="仿宋_GB2312" w:cs="仿宋_GB2312"/>
                <w:bCs/>
                <w:color w:val="auto"/>
                <w:sz w:val="24"/>
                <w:lang w:val="en-US" w:eastAsia="zh-CN"/>
              </w:rPr>
            </w:pPr>
            <w:r>
              <w:rPr>
                <w:rFonts w:hint="eastAsia" w:ascii="仿宋_GB2312" w:hAnsi="仿宋_GB2312" w:cs="仿宋_GB2312"/>
                <w:bCs/>
                <w:color w:val="auto"/>
                <w:sz w:val="24"/>
                <w:lang w:val="en-US" w:eastAsia="zh-CN"/>
              </w:rPr>
              <w:t>7.验收不合格或不能按期履行合同的处理：</w:t>
            </w:r>
            <w:r>
              <w:rPr>
                <w:rFonts w:hint="eastAsia" w:ascii="仿宋_GB2312" w:hAnsi="仿宋_GB2312" w:cs="仿宋_GB2312"/>
                <w:bCs/>
                <w:snapToGrid/>
                <w:color w:val="auto"/>
                <w:kern w:val="2"/>
                <w:sz w:val="24"/>
                <w:szCs w:val="24"/>
                <w:lang w:val="en-US" w:eastAsia="zh-CN"/>
              </w:rPr>
              <w:t>供应商</w:t>
            </w:r>
            <w:r>
              <w:rPr>
                <w:rFonts w:hint="eastAsia" w:ascii="仿宋_GB2312" w:hAnsi="仿宋_GB2312" w:cs="仿宋_GB2312"/>
                <w:bCs/>
                <w:color w:val="auto"/>
                <w:sz w:val="24"/>
                <w:lang w:val="en-US" w:eastAsia="zh-CN"/>
              </w:rPr>
              <w:t>必须在合同指定时间内将货物运送到安装地点并完成安装工作，否则</w:t>
            </w:r>
            <w:r>
              <w:rPr>
                <w:rFonts w:hint="eastAsia" w:ascii="仿宋_GB2312" w:hAnsi="仿宋_GB2312" w:cs="仿宋_GB2312"/>
                <w:bCs/>
                <w:snapToGrid/>
                <w:color w:val="auto"/>
                <w:kern w:val="2"/>
                <w:sz w:val="24"/>
                <w:szCs w:val="24"/>
                <w:lang w:val="en-US" w:eastAsia="zh-CN"/>
              </w:rPr>
              <w:t>供应商</w:t>
            </w:r>
            <w:r>
              <w:rPr>
                <w:rFonts w:hint="eastAsia" w:ascii="仿宋_GB2312" w:hAnsi="仿宋_GB2312" w:cs="仿宋_GB2312"/>
                <w:bCs/>
                <w:color w:val="auto"/>
                <w:sz w:val="24"/>
                <w:lang w:val="en-US" w:eastAsia="zh-CN"/>
              </w:rPr>
              <w:t>必须承担由此产生的一切后果。如</w:t>
            </w:r>
            <w:r>
              <w:rPr>
                <w:rFonts w:hint="eastAsia" w:ascii="仿宋_GB2312" w:hAnsi="仿宋_GB2312" w:cs="仿宋_GB2312"/>
                <w:bCs/>
                <w:snapToGrid/>
                <w:color w:val="auto"/>
                <w:kern w:val="2"/>
                <w:sz w:val="24"/>
                <w:szCs w:val="24"/>
                <w:lang w:val="en-US" w:eastAsia="zh-CN"/>
              </w:rPr>
              <w:t>供应商</w:t>
            </w:r>
            <w:r>
              <w:rPr>
                <w:rFonts w:hint="eastAsia" w:ascii="仿宋_GB2312" w:hAnsi="仿宋_GB2312" w:cs="仿宋_GB2312"/>
                <w:bCs/>
                <w:color w:val="auto"/>
                <w:sz w:val="24"/>
                <w:lang w:val="en-US" w:eastAsia="zh-CN"/>
              </w:rPr>
              <w:t>不能按约定时间交货，造成采购人不能按时使用的，由此产生的一切费用将从中标人的货款中扣除，并且还将根据实际情况从货款中扣减因延期交货给采购人带来的其它直接损失和间接损失。</w:t>
            </w:r>
          </w:p>
          <w:p>
            <w:pPr>
              <w:spacing w:line="440" w:lineRule="exact"/>
              <w:ind w:right="42" w:rightChars="13"/>
              <w:jc w:val="left"/>
              <w:rPr>
                <w:rFonts w:hint="eastAsia" w:ascii="仿宋_GB2312" w:hAnsi="仿宋_GB2312" w:eastAsia="仿宋_GB2312" w:cs="仿宋_GB2312"/>
                <w:bCs/>
                <w:color w:val="auto"/>
                <w:sz w:val="24"/>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ascii="仿宋_GB2312" w:hAnsi="仿宋_GB2312" w:cs="仿宋_GB2312"/>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7" w:type="dxa"/>
            <w:gridSpan w:val="5"/>
            <w:tcBorders>
              <w:top w:val="single" w:color="auto" w:sz="4" w:space="0"/>
              <w:left w:val="single" w:color="auto" w:sz="4" w:space="0"/>
              <w:bottom w:val="single" w:color="auto" w:sz="4" w:space="0"/>
              <w:right w:val="single" w:color="auto" w:sz="4" w:space="0"/>
            </w:tcBorders>
            <w:vAlign w:val="center"/>
          </w:tcPr>
          <w:p>
            <w:pPr>
              <w:pStyle w:val="8"/>
              <w:snapToGrid w:val="0"/>
              <w:spacing w:line="400" w:lineRule="exact"/>
              <w:ind w:right="-502" w:rightChars="-157"/>
              <w:rPr>
                <w:rFonts w:hint="eastAsia" w:ascii="仿宋_GB2312" w:hAnsi="宋体" w:eastAsia="仿宋_GB2312" w:cs="Arial"/>
                <w:b/>
                <w:bCs/>
                <w:color w:val="auto"/>
                <w:sz w:val="24"/>
                <w:szCs w:val="24"/>
              </w:rPr>
            </w:pPr>
            <w:r>
              <w:rPr>
                <w:rFonts w:hint="eastAsia" w:ascii="仿宋_GB2312" w:hAnsi="宋体" w:eastAsia="仿宋_GB2312" w:cs="Arial"/>
                <w:b/>
                <w:bCs/>
                <w:color w:val="auto"/>
                <w:sz w:val="24"/>
                <w:szCs w:val="24"/>
              </w:rPr>
              <w:t>四、</w:t>
            </w:r>
            <w:r>
              <w:rPr>
                <w:rFonts w:hint="eastAsia" w:ascii="仿宋_GB2312" w:hAnsi="宋体" w:eastAsia="仿宋_GB2312"/>
                <w:b/>
                <w:color w:val="auto"/>
                <w:sz w:val="24"/>
              </w:rPr>
              <w:t>资信要求</w:t>
            </w:r>
          </w:p>
        </w:tc>
        <w:tc>
          <w:tcPr>
            <w:tcW w:w="1155" w:type="dxa"/>
            <w:tcBorders>
              <w:top w:val="single" w:color="auto" w:sz="4" w:space="0"/>
              <w:left w:val="single" w:color="auto" w:sz="4" w:space="0"/>
              <w:bottom w:val="single" w:color="auto" w:sz="4" w:space="0"/>
              <w:right w:val="single" w:color="auto" w:sz="4" w:space="0"/>
            </w:tcBorders>
            <w:vAlign w:val="center"/>
          </w:tcPr>
          <w:p>
            <w:pPr>
              <w:pStyle w:val="8"/>
              <w:snapToGrid w:val="0"/>
              <w:spacing w:line="400" w:lineRule="exact"/>
              <w:ind w:right="-502" w:rightChars="-157"/>
              <w:rPr>
                <w:rFonts w:hint="eastAsia" w:ascii="仿宋_GB2312" w:hAnsi="宋体" w:eastAsia="仿宋_GB2312" w:cs="Arial"/>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质量管理、企业信用要求（如有） </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pStyle w:val="24"/>
              <w:spacing w:before="0" w:beforeAutospacing="0" w:after="0" w:afterAutospacing="0" w:line="460" w:lineRule="atLeast"/>
              <w:rPr>
                <w:rFonts w:ascii="仿宋_GB2312" w:eastAsia="仿宋_GB2312"/>
                <w:color w:val="auto"/>
              </w:rPr>
            </w:pPr>
            <w:r>
              <w:rPr>
                <w:rFonts w:hint="eastAsia" w:ascii="仿宋_GB2312" w:eastAsia="仿宋_GB2312"/>
                <w:color w:val="auto"/>
              </w:rPr>
              <w:t>1.</w:t>
            </w:r>
            <w:r>
              <w:rPr>
                <w:rFonts w:hint="eastAsia" w:ascii="仿宋_GB2312" w:eastAsia="仿宋_GB2312"/>
                <w:color w:val="auto"/>
                <w:lang w:eastAsia="zh-CN"/>
              </w:rPr>
              <w:t>供应商</w:t>
            </w:r>
            <w:r>
              <w:rPr>
                <w:rFonts w:hint="eastAsia" w:ascii="仿宋_GB2312" w:eastAsia="仿宋_GB2312"/>
                <w:color w:val="auto"/>
              </w:rPr>
              <w:t>或</w:t>
            </w:r>
            <w:r>
              <w:rPr>
                <w:rFonts w:hint="eastAsia" w:ascii="仿宋_GB2312" w:eastAsia="仿宋_GB2312"/>
                <w:color w:val="auto"/>
                <w:lang w:eastAsia="zh-CN"/>
              </w:rPr>
              <w:t>所投核心</w:t>
            </w:r>
            <w:r>
              <w:rPr>
                <w:rFonts w:hint="eastAsia" w:ascii="仿宋_GB2312" w:eastAsia="仿宋_GB2312"/>
                <w:color w:val="auto"/>
              </w:rPr>
              <w:t>产品生产厂</w:t>
            </w:r>
            <w:r>
              <w:rPr>
                <w:rFonts w:hint="eastAsia" w:ascii="仿宋_GB2312" w:hAnsi="仿宋_GB2312" w:eastAsia="仿宋_GB2312" w:cs="仿宋_GB2312"/>
                <w:color w:val="auto"/>
              </w:rPr>
              <w:t>商</w:t>
            </w:r>
            <w:r>
              <w:rPr>
                <w:rFonts w:hint="eastAsia" w:ascii="仿宋_GB2312" w:eastAsia="仿宋_GB2312"/>
                <w:color w:val="auto"/>
              </w:rPr>
              <w:t>具备有效的质量管理体系认证证书；</w:t>
            </w:r>
          </w:p>
          <w:p>
            <w:pPr>
              <w:pStyle w:val="24"/>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w:t>
            </w:r>
            <w:r>
              <w:rPr>
                <w:rFonts w:hint="eastAsia" w:ascii="仿宋_GB2312" w:eastAsia="仿宋_GB2312"/>
                <w:color w:val="auto"/>
                <w:lang w:eastAsia="zh-CN"/>
              </w:rPr>
              <w:t>供应商</w:t>
            </w:r>
            <w:r>
              <w:rPr>
                <w:rFonts w:hint="eastAsia" w:ascii="仿宋_GB2312" w:eastAsia="仿宋_GB2312"/>
                <w:color w:val="auto"/>
              </w:rPr>
              <w:t>或</w:t>
            </w:r>
            <w:r>
              <w:rPr>
                <w:rFonts w:hint="eastAsia" w:ascii="仿宋_GB2312" w:eastAsia="仿宋_GB2312"/>
                <w:color w:val="auto"/>
                <w:lang w:eastAsia="zh-CN"/>
              </w:rPr>
              <w:t>所投核心</w:t>
            </w:r>
            <w:r>
              <w:rPr>
                <w:rFonts w:hint="eastAsia" w:ascii="仿宋_GB2312" w:eastAsia="仿宋_GB2312"/>
                <w:color w:val="auto"/>
              </w:rPr>
              <w:t>产品生产厂</w:t>
            </w:r>
            <w:r>
              <w:rPr>
                <w:rFonts w:hint="eastAsia" w:ascii="仿宋_GB2312" w:hAnsi="仿宋_GB2312" w:eastAsia="仿宋_GB2312" w:cs="仿宋_GB2312"/>
                <w:color w:val="auto"/>
              </w:rPr>
              <w:t>商</w:t>
            </w:r>
            <w:r>
              <w:rPr>
                <w:rFonts w:hint="eastAsia" w:ascii="仿宋_GB2312" w:eastAsia="仿宋_GB2312"/>
                <w:color w:val="auto"/>
              </w:rPr>
              <w:t>具备有效的职业健康安全管理体系认证证书；</w:t>
            </w:r>
          </w:p>
          <w:p>
            <w:pPr>
              <w:pStyle w:val="2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3.</w:t>
            </w:r>
            <w:r>
              <w:rPr>
                <w:rFonts w:hint="eastAsia" w:ascii="仿宋_GB2312" w:eastAsia="仿宋_GB2312"/>
                <w:color w:val="auto"/>
                <w:lang w:eastAsia="zh-CN"/>
              </w:rPr>
              <w:t>供应商</w:t>
            </w:r>
            <w:r>
              <w:rPr>
                <w:rFonts w:hint="eastAsia" w:ascii="仿宋_GB2312" w:eastAsia="仿宋_GB2312"/>
                <w:color w:val="auto"/>
              </w:rPr>
              <w:t>或</w:t>
            </w:r>
            <w:r>
              <w:rPr>
                <w:rFonts w:hint="eastAsia" w:ascii="仿宋_GB2312" w:eastAsia="仿宋_GB2312"/>
                <w:color w:val="auto"/>
                <w:lang w:eastAsia="zh-CN"/>
              </w:rPr>
              <w:t>所投核心</w:t>
            </w:r>
            <w:r>
              <w:rPr>
                <w:rFonts w:hint="eastAsia" w:ascii="仿宋_GB2312" w:eastAsia="仿宋_GB2312"/>
                <w:color w:val="auto"/>
              </w:rPr>
              <w:t>产品生产厂</w:t>
            </w:r>
            <w:r>
              <w:rPr>
                <w:rFonts w:hint="eastAsia" w:ascii="仿宋_GB2312" w:hAnsi="仿宋_GB2312" w:eastAsia="仿宋_GB2312" w:cs="仿宋_GB2312"/>
                <w:color w:val="auto"/>
              </w:rPr>
              <w:t>商</w:t>
            </w:r>
            <w:r>
              <w:rPr>
                <w:rFonts w:hint="eastAsia" w:ascii="仿宋_GB2312" w:eastAsia="仿宋_GB2312"/>
                <w:color w:val="auto"/>
              </w:rPr>
              <w:t>具备有效的环境管理体系认证证书。</w:t>
            </w:r>
          </w:p>
        </w:tc>
        <w:tc>
          <w:tcPr>
            <w:tcW w:w="1155" w:type="dxa"/>
            <w:tcBorders>
              <w:top w:val="single" w:color="auto" w:sz="4" w:space="0"/>
              <w:left w:val="single" w:color="auto" w:sz="4" w:space="0"/>
              <w:bottom w:val="single" w:color="auto" w:sz="4" w:space="0"/>
              <w:right w:val="single" w:color="auto" w:sz="4" w:space="0"/>
            </w:tcBorders>
            <w:vAlign w:val="center"/>
          </w:tcPr>
          <w:p>
            <w:pPr>
              <w:pStyle w:val="26"/>
              <w:spacing w:before="0" w:beforeAutospacing="0" w:after="0" w:afterAutospacing="0" w:line="460" w:lineRule="atLeas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97" w:type="dxa"/>
            <w:gridSpan w:val="5"/>
            <w:tcBorders>
              <w:top w:val="single" w:color="auto" w:sz="4" w:space="0"/>
              <w:left w:val="single" w:color="auto" w:sz="4" w:space="0"/>
              <w:bottom w:val="single" w:color="auto" w:sz="4" w:space="0"/>
              <w:right w:val="single" w:color="auto" w:sz="4" w:space="0"/>
            </w:tcBorders>
            <w:vAlign w:val="center"/>
          </w:tcPr>
          <w:p>
            <w:pPr>
              <w:pStyle w:val="8"/>
              <w:snapToGrid w:val="0"/>
              <w:spacing w:line="400" w:lineRule="exact"/>
              <w:ind w:right="-502" w:rightChars="-157"/>
              <w:rPr>
                <w:rFonts w:hint="eastAsia" w:ascii="仿宋_GB2312" w:hAnsi="宋体" w:eastAsia="仿宋_GB2312" w:cs="宋体"/>
                <w:bCs/>
                <w:color w:val="auto"/>
                <w:sz w:val="24"/>
                <w:lang w:eastAsia="zh-CN"/>
              </w:rPr>
            </w:pPr>
            <w:r>
              <w:rPr>
                <w:rFonts w:hint="eastAsia" w:ascii="仿宋_GB2312" w:hAnsi="宋体" w:eastAsia="仿宋_GB2312"/>
                <w:b/>
                <w:bCs/>
                <w:color w:val="auto"/>
                <w:sz w:val="24"/>
              </w:rPr>
              <w:t>五、</w:t>
            </w:r>
            <w:r>
              <w:rPr>
                <w:rFonts w:hint="eastAsia" w:ascii="仿宋_GB2312" w:hAnsi="宋体"/>
                <w:b/>
                <w:bCs/>
                <w:color w:val="auto"/>
                <w:sz w:val="24"/>
                <w:lang w:eastAsia="zh-CN"/>
              </w:rPr>
              <w:t>其他要求</w:t>
            </w:r>
          </w:p>
        </w:tc>
        <w:tc>
          <w:tcPr>
            <w:tcW w:w="1155" w:type="dxa"/>
            <w:tcBorders>
              <w:top w:val="single" w:color="auto" w:sz="4" w:space="0"/>
              <w:left w:val="single" w:color="auto" w:sz="4" w:space="0"/>
              <w:bottom w:val="single" w:color="auto" w:sz="4" w:space="0"/>
              <w:right w:val="single" w:color="auto" w:sz="4" w:space="0"/>
            </w:tcBorders>
            <w:vAlign w:val="center"/>
          </w:tcPr>
          <w:p>
            <w:pPr>
              <w:pStyle w:val="8"/>
              <w:snapToGrid w:val="0"/>
              <w:spacing w:line="400" w:lineRule="exact"/>
              <w:ind w:right="-502" w:rightChars="-157"/>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163" w:rightChars="-51"/>
              <w:jc w:val="left"/>
              <w:rPr>
                <w:rFonts w:hint="eastAsia" w:ascii="仿宋_GB2312" w:hAnsi="宋体" w:eastAsia="仿宋_GB2312" w:cs="Arial"/>
                <w:bCs/>
                <w:color w:val="auto"/>
                <w:sz w:val="24"/>
              </w:rPr>
            </w:pPr>
            <w:r>
              <w:rPr>
                <w:rFonts w:hint="eastAsia" w:ascii="仿宋_GB2312" w:hAnsi="宋体" w:eastAsia="仿宋_GB2312"/>
                <w:b w:val="0"/>
                <w:bCs w:val="0"/>
                <w:color w:val="auto"/>
                <w:sz w:val="24"/>
              </w:rPr>
              <w:t>注意事项</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r>
              <w:rPr>
                <w:rFonts w:hint="eastAsia" w:ascii="仿宋_GB2312" w:hAnsi="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lang w:val="en-US" w:eastAsia="zh-CN"/>
              </w:rPr>
              <w:t>合同签订</w:t>
            </w:r>
            <w:r>
              <w:rPr>
                <w:rFonts w:hint="eastAsia" w:ascii="仿宋_GB2312" w:hAnsi="仿宋_GB2312" w:eastAsia="仿宋_GB2312" w:cs="仿宋_GB2312"/>
                <w:color w:val="auto"/>
                <w:sz w:val="24"/>
                <w:szCs w:val="24"/>
                <w:highlight w:val="none"/>
                <w:vertAlign w:val="baseline"/>
                <w:lang w:val="en-US" w:eastAsia="zh-CN"/>
              </w:rPr>
              <w:t>期：自</w:t>
            </w:r>
            <w:r>
              <w:rPr>
                <w:rFonts w:hint="eastAsia" w:ascii="仿宋_GB2312" w:hAnsi="仿宋_GB2312" w:cs="仿宋_GB2312"/>
                <w:color w:val="auto"/>
                <w:sz w:val="24"/>
                <w:szCs w:val="24"/>
                <w:highlight w:val="none"/>
                <w:vertAlign w:val="baseline"/>
                <w:lang w:val="en-US" w:eastAsia="zh-CN"/>
              </w:rPr>
              <w:t>采购结果公告</w:t>
            </w:r>
            <w:r>
              <w:rPr>
                <w:rFonts w:hint="eastAsia" w:ascii="仿宋_GB2312" w:hAnsi="仿宋_GB2312" w:eastAsia="仿宋_GB2312" w:cs="仿宋_GB2312"/>
                <w:color w:val="auto"/>
                <w:sz w:val="24"/>
                <w:szCs w:val="24"/>
                <w:highlight w:val="none"/>
                <w:vertAlign w:val="baseline"/>
                <w:lang w:val="en-US" w:eastAsia="zh-CN"/>
              </w:rPr>
              <w:t>发</w:t>
            </w:r>
            <w:r>
              <w:rPr>
                <w:rFonts w:hint="eastAsia" w:ascii="仿宋_GB2312" w:hAnsi="仿宋_GB2312" w:eastAsia="仿宋_GB2312" w:cs="仿宋_GB2312"/>
                <w:color w:val="auto"/>
                <w:sz w:val="24"/>
                <w:szCs w:val="24"/>
                <w:vertAlign w:val="baseline"/>
                <w:lang w:val="en-US" w:eastAsia="zh-CN"/>
              </w:rPr>
              <w:t>出之日起10日内。</w:t>
            </w:r>
          </w:p>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r>
              <w:rPr>
                <w:rFonts w:hint="eastAsia" w:ascii="仿宋_GB2312" w:hAnsi="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lang w:val="en-US" w:eastAsia="zh-CN"/>
              </w:rPr>
              <w:t>如成交供应商未与采购人沟通、未经采购人同意、未告知采购人送货方式等情况下，直接以快递或物流的方式发送货物，如出现货物丢失、货物损坏、货物长时间未接收等一系列问题，全部由成交供应商负责。</w:t>
            </w:r>
          </w:p>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r>
              <w:rPr>
                <w:rFonts w:hint="eastAsia" w:ascii="仿宋_GB2312" w:hAnsi="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lang w:val="en-US" w:eastAsia="zh-CN"/>
              </w:rPr>
              <w:t>为保证货物原装正品及防虚假参数应标，在签订合同前提供所投产品参数如果有要求提供参数确认函及售后服务承诺函，必须提供（需加盖供应商鲜章）核实，否则报价无效；如无法提供，采购人有权单方面取消</w:t>
            </w:r>
            <w:r>
              <w:rPr>
                <w:rFonts w:hint="eastAsia" w:ascii="仿宋_GB2312" w:hAnsi="仿宋_GB2312" w:cs="仿宋_GB2312"/>
                <w:color w:val="auto"/>
                <w:sz w:val="24"/>
                <w:szCs w:val="24"/>
                <w:vertAlign w:val="baseline"/>
                <w:lang w:val="en-US" w:eastAsia="zh-CN"/>
              </w:rPr>
              <w:t>成交</w:t>
            </w:r>
            <w:r>
              <w:rPr>
                <w:rFonts w:hint="eastAsia" w:ascii="仿宋_GB2312" w:hAnsi="仿宋_GB2312" w:eastAsia="仿宋_GB2312" w:cs="仿宋_GB2312"/>
                <w:color w:val="auto"/>
                <w:sz w:val="24"/>
                <w:szCs w:val="24"/>
                <w:vertAlign w:val="baseline"/>
                <w:lang w:val="en-US" w:eastAsia="zh-CN"/>
              </w:rPr>
              <w:t xml:space="preserve">并拒绝签订合同，并按规定对供应商予以虚假应标处罚，和进行网上通报处理，列入不良行为记录在档。 </w:t>
            </w:r>
          </w:p>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r>
              <w:rPr>
                <w:rFonts w:hint="eastAsia" w:ascii="仿宋_GB2312" w:hAnsi="仿宋_GB2312" w:cs="仿宋_GB2312"/>
                <w:color w:val="auto"/>
                <w:sz w:val="24"/>
                <w:szCs w:val="24"/>
                <w:vertAlign w:val="baseline"/>
                <w:lang w:val="en-US" w:eastAsia="zh-CN"/>
              </w:rPr>
              <w:t>.</w:t>
            </w:r>
            <w:r>
              <w:rPr>
                <w:rFonts w:hint="eastAsia" w:ascii="仿宋_GB2312" w:hAnsi="仿宋_GB2312" w:eastAsia="仿宋_GB2312" w:cs="仿宋_GB2312"/>
                <w:color w:val="auto"/>
                <w:sz w:val="24"/>
                <w:szCs w:val="24"/>
                <w:vertAlign w:val="baseline"/>
                <w:lang w:val="en-US" w:eastAsia="zh-CN"/>
              </w:rPr>
              <w:t>成交供应商必须实质性能够满足产品带</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color w:val="auto"/>
                <w:sz w:val="24"/>
                <w:szCs w:val="24"/>
                <w:vertAlign w:val="baseline"/>
                <w:lang w:val="en-US" w:eastAsia="zh-CN"/>
              </w:rPr>
              <w:t>参数要求，一旦发现虚假响应，即使确认成交也将被取消供货资格，采购人有权追究恶意扰乱规则的供应商责任，并向政府采购监管平台投诉。（在报价前请仔细评估自身履约能力，谢绝恶意低价、不按要求报价、成交后无故放弃、不按合同履行等违约行为。对出现此类行为的预成交供应商，采购人将根据报价询价违约处理规则，依法依规提请政采云平台进行处罚，处罚内容包括停止推送报价信息、禁止报价等，并记入政府采购诚信档案等。）</w:t>
            </w:r>
          </w:p>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5.</w:t>
            </w:r>
            <w:r>
              <w:rPr>
                <w:rFonts w:hint="eastAsia" w:ascii="仿宋_GB2312" w:hAnsi="仿宋_GB2312" w:eastAsia="仿宋_GB2312" w:cs="仿宋_GB2312"/>
                <w:color w:val="auto"/>
                <w:sz w:val="24"/>
                <w:szCs w:val="24"/>
                <w:vertAlign w:val="baseline"/>
                <w:lang w:val="en-US" w:eastAsia="zh-CN"/>
              </w:rPr>
              <w:t>如需求有差异，以采购人实际需求为准，成交供应商免费退换货，调货，不得增加费用。</w:t>
            </w:r>
          </w:p>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6.</w:t>
            </w:r>
            <w:r>
              <w:rPr>
                <w:rFonts w:hint="eastAsia" w:ascii="仿宋_GB2312" w:hAnsi="仿宋_GB2312" w:eastAsia="仿宋_GB2312" w:cs="仿宋_GB2312"/>
                <w:color w:val="auto"/>
                <w:sz w:val="24"/>
                <w:szCs w:val="24"/>
                <w:vertAlign w:val="baseline"/>
                <w:lang w:val="en-US" w:eastAsia="zh-CN"/>
              </w:rPr>
              <w:t>验收条件及标准：采购人对成交供应商所交货物必须依照采购文件上的技术规格实质要求和国家有关标准验收，进行现场测试比对，达到要求的方可验收。如因成交供应商虚假应标而造成采购人损失的，成交供应商应承担相应法律责任，并赔偿因此而造成的采购人的损失</w:t>
            </w:r>
          </w:p>
          <w:p>
            <w:pPr>
              <w:spacing w:line="440" w:lineRule="exact"/>
              <w:ind w:right="42" w:rightChars="13"/>
              <w:jc w:val="left"/>
              <w:rPr>
                <w:rFonts w:hint="eastAsia" w:ascii="仿宋_GB2312" w:hAnsi="宋体" w:eastAsia="仿宋_GB2312" w:cs="Arial"/>
                <w:bCs/>
                <w:color w:val="auto"/>
                <w:sz w:val="24"/>
                <w:lang w:eastAsia="zh-CN"/>
              </w:rPr>
            </w:pPr>
            <w:r>
              <w:rPr>
                <w:rFonts w:hint="eastAsia" w:ascii="仿宋_GB2312" w:hAnsi="仿宋_GB2312" w:cs="仿宋_GB2312"/>
                <w:color w:val="auto"/>
                <w:sz w:val="24"/>
                <w:szCs w:val="24"/>
                <w:vertAlign w:val="baseline"/>
                <w:lang w:val="en-US" w:eastAsia="zh-CN"/>
              </w:rPr>
              <w:t>7</w:t>
            </w:r>
            <w:r>
              <w:rPr>
                <w:rFonts w:hint="eastAsia" w:ascii="仿宋_GB2312" w:hAnsi="仿宋_GB2312" w:eastAsia="仿宋_GB2312" w:cs="仿宋_GB2312"/>
                <w:color w:val="auto"/>
                <w:sz w:val="24"/>
                <w:szCs w:val="24"/>
                <w:vertAlign w:val="baseline"/>
                <w:lang w:val="en-US" w:eastAsia="zh-CN"/>
              </w:rPr>
              <w:t>.</w:t>
            </w:r>
            <w:r>
              <w:rPr>
                <w:rFonts w:hint="eastAsia" w:ascii="仿宋_GB2312" w:hAnsi="仿宋_GB2312" w:eastAsia="仿宋_GB2312" w:cs="仿宋_GB2312"/>
                <w:b/>
                <w:bCs/>
                <w:color w:val="auto"/>
                <w:sz w:val="24"/>
                <w:szCs w:val="24"/>
                <w:vertAlign w:val="baseline"/>
                <w:lang w:val="en-US" w:eastAsia="zh-CN"/>
              </w:rPr>
              <w:t>本项目需求(含技术需求及商务需求)均不允许负偏离，出现负偏离则被认为是实质性要求和条件不响应，作报价无效处理。</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center"/>
              <w:rPr>
                <w:rFonts w:hint="eastAsia" w:ascii="仿宋_GB2312" w:hAnsi="宋体" w:eastAsia="仿宋_GB2312" w:cs="Arial"/>
                <w:bCs/>
                <w:color w:val="auto"/>
                <w:sz w:val="24"/>
              </w:rPr>
            </w:pPr>
            <w:r>
              <w:rPr>
                <w:rFonts w:hint="eastAsia" w:ascii="仿宋_GB2312" w:hAnsi="宋体" w:eastAsia="仿宋_GB2312" w:cstheme="minorBidi"/>
                <w:b w:val="0"/>
                <w:bCs w:val="0"/>
                <w:color w:val="auto"/>
                <w:sz w:val="24"/>
                <w:szCs w:val="24"/>
              </w:rPr>
              <w:t>响应文件要求</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为法人或者其他组织的提供其营业执照等证明文件（如营业执照或者事业单位法人证书等）。</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未被列入失信被执行人、重大税收违法案件当事人名单、政府采购严重违法失信行为记录名单，且符合《中华人民共和国政府采购法》第二十二条规定的资格条件。提供信用中国信用信息报告。</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提供技术要求偏离表（格式后附）。</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w:t>
            </w:r>
            <w:r>
              <w:rPr>
                <w:rFonts w:hint="eastAsia" w:ascii="仿宋_GB2312" w:hAnsi="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提供商务要求偏离表（格式后附）。</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w:t>
            </w:r>
            <w:r>
              <w:rPr>
                <w:rFonts w:hint="eastAsia" w:ascii="仿宋_GB2312" w:hAnsi="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提供</w:t>
            </w:r>
            <w:r>
              <w:rPr>
                <w:rFonts w:hint="eastAsia" w:ascii="仿宋_GB2312" w:hAnsi="仿宋_GB2312" w:eastAsia="仿宋_GB2312" w:cs="仿宋_GB2312"/>
                <w:bCs/>
                <w:color w:val="auto"/>
                <w:sz w:val="24"/>
                <w:szCs w:val="24"/>
                <w:lang w:val="en-US" w:eastAsia="zh-CN"/>
              </w:rPr>
              <w:t>报</w:t>
            </w:r>
            <w:r>
              <w:rPr>
                <w:rFonts w:hint="eastAsia" w:ascii="仿宋_GB2312" w:hAnsi="仿宋_GB2312" w:eastAsia="仿宋_GB2312" w:cs="仿宋_GB2312"/>
                <w:bCs/>
                <w:color w:val="auto"/>
                <w:sz w:val="24"/>
                <w:szCs w:val="24"/>
              </w:rPr>
              <w:t>价一览表（格式后附）。</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w:t>
            </w:r>
            <w:r>
              <w:rPr>
                <w:rFonts w:hint="eastAsia" w:ascii="仿宋_GB2312" w:hAnsi="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提供参加本项目无围标串标行为的承诺函（格式后附）。</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7</w:t>
            </w:r>
            <w:r>
              <w:rPr>
                <w:rFonts w:hint="eastAsia" w:ascii="仿宋_GB2312" w:hAnsi="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认为需要提供的其他有关资料。</w:t>
            </w:r>
          </w:p>
          <w:p>
            <w:pPr>
              <w:spacing w:line="440" w:lineRule="exact"/>
              <w:ind w:right="42" w:rightChars="13"/>
              <w:jc w:val="left"/>
              <w:rPr>
                <w:rFonts w:hint="eastAsia" w:ascii="仿宋_GB2312" w:hAnsi="宋体" w:eastAsia="仿宋_GB2312" w:cs="Arial"/>
                <w:bCs/>
                <w:color w:val="auto"/>
                <w:sz w:val="24"/>
              </w:rPr>
            </w:pPr>
            <w:r>
              <w:rPr>
                <w:rFonts w:hint="eastAsia" w:ascii="仿宋_GB2312" w:hAnsi="仿宋_GB2312" w:eastAsia="仿宋_GB2312" w:cs="仿宋_GB2312"/>
                <w:bCs/>
                <w:color w:val="auto"/>
                <w:sz w:val="24"/>
                <w:szCs w:val="24"/>
              </w:rPr>
              <w:t>8</w:t>
            </w:r>
            <w:r>
              <w:rPr>
                <w:rFonts w:hint="eastAsia" w:ascii="仿宋_GB2312" w:hAnsi="仿宋_GB2312" w:cs="仿宋_GB2312"/>
                <w:bCs/>
                <w:color w:val="auto"/>
                <w:sz w:val="24"/>
                <w:szCs w:val="24"/>
                <w:lang w:val="en-US" w:eastAsia="zh-CN"/>
              </w:rPr>
              <w:t>.</w:t>
            </w:r>
            <w:r>
              <w:rPr>
                <w:rFonts w:hint="eastAsia" w:ascii="仿宋_GB2312" w:hAnsi="仿宋_GB2312" w:eastAsia="仿宋_GB2312" w:cs="仿宋_GB2312"/>
                <w:bCs/>
                <w:color w:val="auto"/>
                <w:sz w:val="24"/>
                <w:szCs w:val="24"/>
              </w:rPr>
              <w:t>以上标明“必须提供”的材料，必须加盖</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公章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否则</w:t>
            </w:r>
            <w:r>
              <w:rPr>
                <w:rFonts w:hint="eastAsia" w:ascii="仿宋_GB2312" w:hAnsi="仿宋_GB2312" w:eastAsia="仿宋_GB2312" w:cs="仿宋_GB2312"/>
                <w:bCs/>
                <w:color w:val="auto"/>
                <w:sz w:val="24"/>
                <w:szCs w:val="24"/>
                <w:lang w:val="en-US" w:eastAsia="zh-CN"/>
              </w:rPr>
              <w:t>报</w:t>
            </w:r>
            <w:r>
              <w:rPr>
                <w:rFonts w:hint="eastAsia" w:ascii="仿宋_GB2312" w:hAnsi="仿宋_GB2312" w:eastAsia="仿宋_GB2312" w:cs="仿宋_GB2312"/>
                <w:bCs/>
                <w:color w:val="auto"/>
                <w:sz w:val="24"/>
                <w:szCs w:val="24"/>
              </w:rPr>
              <w:t>价按无效响应处理。</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ascii="仿宋_GB2312" w:hAnsi="仿宋_GB2312" w:eastAsia="仿宋_GB2312" w:cs="仿宋_GB2312"/>
                <w:bCs/>
                <w:color w:val="auto"/>
                <w:sz w:val="24"/>
                <w:szCs w:val="24"/>
              </w:rPr>
            </w:pPr>
          </w:p>
        </w:tc>
      </w:tr>
    </w:tbl>
    <w:p>
      <w:pPr>
        <w:spacing w:line="360" w:lineRule="auto"/>
        <w:rPr>
          <w:rFonts w:ascii="仿宋_GB2312" w:eastAsia="仿宋_GB2312"/>
          <w:color w:val="auto"/>
          <w:sz w:val="24"/>
        </w:rPr>
      </w:pPr>
    </w:p>
    <w:p>
      <w:pPr>
        <w:spacing w:line="360" w:lineRule="auto"/>
        <w:contextualSpacing/>
        <w:jc w:val="center"/>
        <w:rPr>
          <w:rFonts w:hint="eastAsia" w:ascii="宋体" w:hAnsi="宋体" w:cs="宋体"/>
          <w:b/>
          <w:color w:val="auto"/>
          <w:sz w:val="32"/>
          <w:szCs w:val="32"/>
        </w:rPr>
      </w:pPr>
      <w:r>
        <w:rPr>
          <w:rFonts w:hint="eastAsia" w:cs="仿宋_GB2312"/>
          <w:caps w:val="0"/>
          <w:color w:val="auto"/>
          <w:sz w:val="28"/>
          <w:szCs w:val="28"/>
          <w:highlight w:val="none"/>
          <w:lang w:val="en-US" w:eastAsia="zh-CN"/>
        </w:rPr>
        <w:br w:type="page"/>
      </w:r>
      <w:r>
        <w:rPr>
          <w:rFonts w:hint="eastAsia" w:ascii="宋体" w:hAnsi="宋体" w:cs="宋体"/>
          <w:b/>
          <w:color w:val="auto"/>
          <w:sz w:val="32"/>
          <w:szCs w:val="32"/>
        </w:rPr>
        <w:t>技术要求偏离表</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326"/>
        <w:gridCol w:w="3327"/>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7"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序号</w:t>
            </w:r>
          </w:p>
        </w:tc>
        <w:tc>
          <w:tcPr>
            <w:tcW w:w="2976"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技术要求</w:t>
            </w:r>
          </w:p>
        </w:tc>
        <w:tc>
          <w:tcPr>
            <w:tcW w:w="2977" w:type="dxa"/>
            <w:noWrap w:val="0"/>
            <w:vAlign w:val="center"/>
          </w:tcPr>
          <w:p>
            <w:pPr>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rPr>
              <w:t>供应商</w:t>
            </w:r>
            <w:r>
              <w:rPr>
                <w:rFonts w:hint="eastAsia" w:ascii="宋体" w:hAnsi="宋体" w:cs="宋体"/>
                <w:color w:val="auto"/>
                <w:sz w:val="24"/>
                <w:lang w:val="en-US" w:eastAsia="zh-CN"/>
              </w:rPr>
              <w:t>响应</w:t>
            </w:r>
          </w:p>
        </w:tc>
        <w:tc>
          <w:tcPr>
            <w:tcW w:w="1407"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center"/>
          </w:tcPr>
          <w:p>
            <w:pPr>
              <w:spacing w:line="600" w:lineRule="exact"/>
              <w:jc w:val="center"/>
              <w:rPr>
                <w:rFonts w:hint="eastAsia" w:ascii="宋体" w:hAnsi="宋体" w:cs="宋体"/>
                <w:color w:val="auto"/>
                <w:sz w:val="24"/>
              </w:rPr>
            </w:pPr>
          </w:p>
        </w:tc>
        <w:tc>
          <w:tcPr>
            <w:tcW w:w="2977" w:type="dxa"/>
            <w:noWrap w:val="0"/>
            <w:vAlign w:val="center"/>
          </w:tcPr>
          <w:p>
            <w:pPr>
              <w:spacing w:line="600" w:lineRule="exact"/>
              <w:jc w:val="center"/>
              <w:rPr>
                <w:rFonts w:hint="eastAsia" w:ascii="宋体" w:hAnsi="宋体" w:cs="宋体"/>
                <w:color w:val="auto"/>
                <w:sz w:val="24"/>
              </w:rPr>
            </w:pPr>
          </w:p>
        </w:tc>
        <w:tc>
          <w:tcPr>
            <w:tcW w:w="1407" w:type="dxa"/>
            <w:noWrap w:val="0"/>
            <w:vAlign w:val="center"/>
          </w:tcPr>
          <w:p>
            <w:pPr>
              <w:spacing w:line="6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top"/>
          </w:tcPr>
          <w:p>
            <w:pPr>
              <w:spacing w:line="600" w:lineRule="exact"/>
              <w:jc w:val="center"/>
              <w:rPr>
                <w:rFonts w:hint="eastAsia" w:ascii="宋体" w:hAnsi="宋体" w:cs="宋体"/>
                <w:color w:val="auto"/>
                <w:sz w:val="24"/>
              </w:rPr>
            </w:pPr>
          </w:p>
        </w:tc>
        <w:tc>
          <w:tcPr>
            <w:tcW w:w="2977" w:type="dxa"/>
            <w:noWrap w:val="0"/>
            <w:vAlign w:val="top"/>
          </w:tcPr>
          <w:p>
            <w:pPr>
              <w:spacing w:line="600" w:lineRule="exact"/>
              <w:jc w:val="center"/>
              <w:rPr>
                <w:rFonts w:hint="eastAsia" w:ascii="宋体" w:hAnsi="宋体" w:cs="宋体"/>
                <w:color w:val="auto"/>
                <w:sz w:val="24"/>
              </w:rPr>
            </w:pPr>
          </w:p>
        </w:tc>
        <w:tc>
          <w:tcPr>
            <w:tcW w:w="1407" w:type="dxa"/>
            <w:noWrap w:val="0"/>
            <w:vAlign w:val="top"/>
          </w:tcPr>
          <w:p>
            <w:pPr>
              <w:spacing w:line="6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top"/>
          </w:tcPr>
          <w:p>
            <w:pPr>
              <w:spacing w:line="600" w:lineRule="exact"/>
              <w:jc w:val="center"/>
              <w:rPr>
                <w:rFonts w:hint="eastAsia" w:ascii="宋体" w:hAnsi="宋体" w:cs="宋体"/>
                <w:color w:val="auto"/>
                <w:sz w:val="24"/>
              </w:rPr>
            </w:pPr>
          </w:p>
        </w:tc>
        <w:tc>
          <w:tcPr>
            <w:tcW w:w="2977" w:type="dxa"/>
            <w:noWrap w:val="0"/>
            <w:vAlign w:val="top"/>
          </w:tcPr>
          <w:p>
            <w:pPr>
              <w:spacing w:line="600" w:lineRule="exact"/>
              <w:jc w:val="center"/>
              <w:rPr>
                <w:rFonts w:hint="eastAsia" w:ascii="宋体" w:hAnsi="宋体" w:cs="宋体"/>
                <w:color w:val="auto"/>
                <w:sz w:val="24"/>
              </w:rPr>
            </w:pPr>
          </w:p>
        </w:tc>
        <w:tc>
          <w:tcPr>
            <w:tcW w:w="1407" w:type="dxa"/>
            <w:noWrap w:val="0"/>
            <w:vAlign w:val="top"/>
          </w:tcPr>
          <w:p>
            <w:pPr>
              <w:spacing w:line="6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top"/>
          </w:tcPr>
          <w:p>
            <w:pPr>
              <w:spacing w:line="600" w:lineRule="exact"/>
              <w:jc w:val="center"/>
              <w:rPr>
                <w:rFonts w:hint="eastAsia" w:ascii="宋体" w:hAnsi="宋体" w:cs="宋体"/>
                <w:color w:val="auto"/>
                <w:sz w:val="24"/>
              </w:rPr>
            </w:pPr>
          </w:p>
        </w:tc>
        <w:tc>
          <w:tcPr>
            <w:tcW w:w="2977" w:type="dxa"/>
            <w:noWrap w:val="0"/>
            <w:vAlign w:val="top"/>
          </w:tcPr>
          <w:p>
            <w:pPr>
              <w:spacing w:line="600" w:lineRule="exact"/>
              <w:jc w:val="center"/>
              <w:rPr>
                <w:rFonts w:hint="eastAsia" w:ascii="宋体" w:hAnsi="宋体" w:cs="宋体"/>
                <w:color w:val="auto"/>
                <w:sz w:val="24"/>
              </w:rPr>
            </w:pPr>
          </w:p>
        </w:tc>
        <w:tc>
          <w:tcPr>
            <w:tcW w:w="1407" w:type="dxa"/>
            <w:noWrap w:val="0"/>
            <w:vAlign w:val="top"/>
          </w:tcPr>
          <w:p>
            <w:pPr>
              <w:spacing w:line="6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top"/>
          </w:tcPr>
          <w:p>
            <w:pPr>
              <w:spacing w:line="600" w:lineRule="exact"/>
              <w:jc w:val="center"/>
              <w:rPr>
                <w:rFonts w:hint="eastAsia" w:ascii="宋体" w:hAnsi="宋体" w:cs="宋体"/>
                <w:color w:val="auto"/>
                <w:sz w:val="24"/>
              </w:rPr>
            </w:pPr>
          </w:p>
        </w:tc>
        <w:tc>
          <w:tcPr>
            <w:tcW w:w="2977" w:type="dxa"/>
            <w:noWrap w:val="0"/>
            <w:vAlign w:val="top"/>
          </w:tcPr>
          <w:p>
            <w:pPr>
              <w:spacing w:line="600" w:lineRule="exact"/>
              <w:jc w:val="center"/>
              <w:rPr>
                <w:rFonts w:hint="eastAsia" w:ascii="宋体" w:hAnsi="宋体" w:cs="宋体"/>
                <w:color w:val="auto"/>
                <w:sz w:val="24"/>
              </w:rPr>
            </w:pPr>
          </w:p>
        </w:tc>
        <w:tc>
          <w:tcPr>
            <w:tcW w:w="1407" w:type="dxa"/>
            <w:noWrap w:val="0"/>
            <w:vAlign w:val="top"/>
          </w:tcPr>
          <w:p>
            <w:pPr>
              <w:spacing w:line="6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top"/>
          </w:tcPr>
          <w:p>
            <w:pPr>
              <w:spacing w:line="600" w:lineRule="exact"/>
              <w:jc w:val="center"/>
              <w:rPr>
                <w:rFonts w:hint="eastAsia" w:ascii="宋体" w:hAnsi="宋体" w:cs="宋体"/>
                <w:color w:val="auto"/>
                <w:sz w:val="24"/>
              </w:rPr>
            </w:pPr>
          </w:p>
        </w:tc>
        <w:tc>
          <w:tcPr>
            <w:tcW w:w="2977" w:type="dxa"/>
            <w:noWrap w:val="0"/>
            <w:vAlign w:val="top"/>
          </w:tcPr>
          <w:p>
            <w:pPr>
              <w:spacing w:line="600" w:lineRule="exact"/>
              <w:jc w:val="center"/>
              <w:rPr>
                <w:rFonts w:hint="eastAsia" w:ascii="宋体" w:hAnsi="宋体" w:cs="宋体"/>
                <w:color w:val="auto"/>
                <w:sz w:val="24"/>
              </w:rPr>
            </w:pPr>
          </w:p>
        </w:tc>
        <w:tc>
          <w:tcPr>
            <w:tcW w:w="1407" w:type="dxa"/>
            <w:noWrap w:val="0"/>
            <w:vAlign w:val="top"/>
          </w:tcPr>
          <w:p>
            <w:pPr>
              <w:spacing w:line="600" w:lineRule="exact"/>
              <w:jc w:val="center"/>
              <w:rPr>
                <w:rFonts w:hint="eastAsia" w:ascii="宋体" w:hAnsi="宋体" w:cs="宋体"/>
                <w:color w:val="auto"/>
                <w:sz w:val="24"/>
              </w:rPr>
            </w:pPr>
          </w:p>
        </w:tc>
      </w:tr>
    </w:tbl>
    <w:p>
      <w:pPr>
        <w:spacing w:line="360" w:lineRule="auto"/>
        <w:rPr>
          <w:rFonts w:hint="eastAsia" w:ascii="宋体" w:hAnsi="宋体" w:cs="宋体"/>
          <w:b/>
          <w:bCs/>
          <w:color w:val="auto"/>
          <w:kern w:val="0"/>
          <w:sz w:val="24"/>
        </w:rPr>
      </w:pPr>
    </w:p>
    <w:p>
      <w:pPr>
        <w:spacing w:line="360" w:lineRule="auto"/>
        <w:rPr>
          <w:rFonts w:hint="eastAsia" w:ascii="宋体" w:hAnsi="宋体" w:cs="宋体"/>
          <w:b/>
          <w:bCs/>
          <w:color w:val="auto"/>
          <w:kern w:val="0"/>
          <w:sz w:val="24"/>
        </w:rPr>
      </w:pPr>
      <w:r>
        <w:rPr>
          <w:rFonts w:hint="eastAsia" w:ascii="宋体" w:hAnsi="宋体" w:cs="宋体"/>
          <w:b/>
          <w:bCs/>
          <w:color w:val="auto"/>
          <w:kern w:val="0"/>
          <w:sz w:val="24"/>
        </w:rPr>
        <w:t>注：</w:t>
      </w:r>
    </w:p>
    <w:p>
      <w:pPr>
        <w:spacing w:line="360" w:lineRule="auto"/>
        <w:ind w:firstLine="480" w:firstLineChars="200"/>
        <w:rPr>
          <w:rFonts w:hint="eastAsia" w:ascii="宋体" w:hAnsi="宋体" w:cs="宋体"/>
          <w:color w:val="auto"/>
          <w:kern w:val="0"/>
          <w:sz w:val="32"/>
          <w:szCs w:val="32"/>
        </w:rPr>
      </w:pPr>
      <w:r>
        <w:rPr>
          <w:rFonts w:hint="eastAsia" w:ascii="宋体" w:hAnsi="宋体" w:cs="宋体"/>
          <w:color w:val="auto"/>
          <w:kern w:val="0"/>
          <w:sz w:val="24"/>
        </w:rPr>
        <w:t>1.说明：应对照“采购需求”中的“技术要求”逐条作明确的投标响应，并作出偏离说明。</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2.供应商对照</w:t>
      </w:r>
      <w:r>
        <w:rPr>
          <w:rFonts w:hint="eastAsia" w:ascii="宋体" w:hAnsi="宋体" w:cs="宋体"/>
          <w:color w:val="auto"/>
          <w:kern w:val="0"/>
          <w:sz w:val="24"/>
          <w:lang w:val="en-US" w:eastAsia="zh-CN"/>
        </w:rPr>
        <w:t>采购需求的</w:t>
      </w:r>
      <w:r>
        <w:rPr>
          <w:rFonts w:hint="eastAsia" w:ascii="宋体" w:hAnsi="宋体" w:cs="宋体"/>
          <w:color w:val="auto"/>
          <w:kern w:val="0"/>
          <w:sz w:val="24"/>
        </w:rPr>
        <w:t>技术要求，在“偏离说明”中注明“</w:t>
      </w:r>
      <w:r>
        <w:rPr>
          <w:rFonts w:hint="eastAsia" w:ascii="宋体" w:hAnsi="宋体" w:cs="宋体"/>
          <w:b/>
          <w:bCs/>
          <w:color w:val="auto"/>
          <w:kern w:val="0"/>
          <w:sz w:val="24"/>
        </w:rPr>
        <w:t>正偏离</w:t>
      </w:r>
      <w:r>
        <w:rPr>
          <w:rFonts w:hint="eastAsia" w:ascii="宋体" w:hAnsi="宋体" w:cs="宋体"/>
          <w:color w:val="auto"/>
          <w:kern w:val="0"/>
          <w:sz w:val="24"/>
        </w:rPr>
        <w:t>”、“</w:t>
      </w:r>
      <w:r>
        <w:rPr>
          <w:rFonts w:hint="eastAsia" w:ascii="宋体" w:hAnsi="宋体" w:cs="宋体"/>
          <w:b/>
          <w:bCs/>
          <w:color w:val="auto"/>
          <w:kern w:val="0"/>
          <w:sz w:val="24"/>
        </w:rPr>
        <w:t>负偏离</w:t>
      </w:r>
      <w:r>
        <w:rPr>
          <w:rFonts w:hint="eastAsia" w:ascii="宋体" w:hAnsi="宋体" w:cs="宋体"/>
          <w:color w:val="auto"/>
          <w:kern w:val="0"/>
          <w:sz w:val="24"/>
        </w:rPr>
        <w:t>”或者“</w:t>
      </w:r>
      <w:r>
        <w:rPr>
          <w:rFonts w:hint="eastAsia" w:ascii="宋体" w:hAnsi="宋体" w:cs="宋体"/>
          <w:b/>
          <w:bCs/>
          <w:color w:val="auto"/>
          <w:kern w:val="0"/>
          <w:sz w:val="24"/>
        </w:rPr>
        <w:t>无偏离</w:t>
      </w:r>
      <w:r>
        <w:rPr>
          <w:rFonts w:hint="eastAsia" w:ascii="宋体" w:hAnsi="宋体" w:cs="宋体"/>
          <w:color w:val="auto"/>
          <w:kern w:val="0"/>
          <w:sz w:val="24"/>
        </w:rPr>
        <w:t>”。既不属于“</w:t>
      </w:r>
      <w:r>
        <w:rPr>
          <w:rFonts w:hint="eastAsia" w:ascii="宋体" w:hAnsi="宋体" w:cs="宋体"/>
          <w:b/>
          <w:bCs/>
          <w:color w:val="auto"/>
          <w:kern w:val="0"/>
          <w:sz w:val="24"/>
        </w:rPr>
        <w:t>正偏离</w:t>
      </w:r>
      <w:r>
        <w:rPr>
          <w:rFonts w:hint="eastAsia" w:ascii="宋体" w:hAnsi="宋体" w:cs="宋体"/>
          <w:color w:val="auto"/>
          <w:kern w:val="0"/>
          <w:sz w:val="24"/>
        </w:rPr>
        <w:t>”也不属于“</w:t>
      </w:r>
      <w:r>
        <w:rPr>
          <w:rFonts w:hint="eastAsia" w:ascii="宋体" w:hAnsi="宋体" w:cs="宋体"/>
          <w:b/>
          <w:bCs/>
          <w:color w:val="auto"/>
          <w:kern w:val="0"/>
          <w:sz w:val="24"/>
        </w:rPr>
        <w:t>负偏离</w:t>
      </w:r>
      <w:r>
        <w:rPr>
          <w:rFonts w:hint="eastAsia" w:ascii="宋体" w:hAnsi="宋体" w:cs="宋体"/>
          <w:color w:val="auto"/>
          <w:kern w:val="0"/>
          <w:sz w:val="24"/>
        </w:rPr>
        <w:t>”即为“</w:t>
      </w:r>
      <w:r>
        <w:rPr>
          <w:rFonts w:hint="eastAsia" w:ascii="宋体" w:hAnsi="宋体" w:cs="宋体"/>
          <w:b/>
          <w:bCs/>
          <w:color w:val="auto"/>
          <w:kern w:val="0"/>
          <w:sz w:val="24"/>
        </w:rPr>
        <w:t>无偏离</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3.供应商认为其</w:t>
      </w:r>
      <w:r>
        <w:rPr>
          <w:rFonts w:hint="eastAsia" w:ascii="宋体" w:hAnsi="宋体" w:cs="宋体"/>
          <w:color w:val="auto"/>
          <w:kern w:val="0"/>
          <w:sz w:val="24"/>
          <w:lang w:val="en-US" w:eastAsia="zh-CN"/>
        </w:rPr>
        <w:t>报</w:t>
      </w:r>
      <w:r>
        <w:rPr>
          <w:rFonts w:hint="eastAsia" w:ascii="宋体" w:hAnsi="宋体" w:cs="宋体"/>
          <w:color w:val="auto"/>
          <w:kern w:val="0"/>
          <w:sz w:val="24"/>
        </w:rPr>
        <w:t>价响应有正偏离的，请在技术要求偏离表中列明。</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4.如技术要求偏离表中的</w:t>
      </w:r>
      <w:r>
        <w:rPr>
          <w:rFonts w:hint="eastAsia" w:ascii="宋体" w:hAnsi="宋体" w:cs="宋体"/>
          <w:color w:val="auto"/>
          <w:kern w:val="0"/>
          <w:sz w:val="24"/>
          <w:lang w:val="en-US" w:eastAsia="zh-CN"/>
        </w:rPr>
        <w:t>报</w:t>
      </w:r>
      <w:r>
        <w:rPr>
          <w:rFonts w:hint="eastAsia" w:ascii="宋体" w:hAnsi="宋体" w:cs="宋体"/>
          <w:color w:val="auto"/>
          <w:kern w:val="0"/>
          <w:sz w:val="24"/>
        </w:rPr>
        <w:t>价响应与佐证材料不一致的，以佐证材料为准。</w:t>
      </w:r>
    </w:p>
    <w:p>
      <w:pPr>
        <w:snapToGrid w:val="0"/>
        <w:spacing w:before="50" w:after="50" w:line="360" w:lineRule="auto"/>
        <w:rPr>
          <w:rFonts w:hint="eastAsia" w:ascii="宋体" w:hAnsi="宋体" w:cs="宋体"/>
          <w:color w:val="auto"/>
          <w:sz w:val="24"/>
        </w:rPr>
      </w:pPr>
    </w:p>
    <w:p>
      <w:pPr>
        <w:snapToGrid w:val="0"/>
        <w:spacing w:before="50" w:after="50" w:line="360" w:lineRule="auto"/>
        <w:rPr>
          <w:rFonts w:hint="eastAsia" w:ascii="宋体" w:hAnsi="宋体" w:cs="宋体"/>
          <w:color w:val="auto"/>
          <w:sz w:val="24"/>
        </w:rPr>
      </w:pPr>
    </w:p>
    <w:p>
      <w:pPr>
        <w:snapToGrid w:val="0"/>
        <w:spacing w:before="50" w:after="50" w:line="360" w:lineRule="auto"/>
        <w:rPr>
          <w:rFonts w:hint="eastAsia" w:ascii="宋体" w:hAnsi="宋体" w:cs="宋体"/>
          <w:color w:val="auto"/>
          <w:sz w:val="24"/>
        </w:rPr>
      </w:pPr>
    </w:p>
    <w:p>
      <w:pPr>
        <w:snapToGrid w:val="0"/>
        <w:spacing w:before="50" w:after="50" w:line="360" w:lineRule="auto"/>
        <w:rPr>
          <w:rFonts w:hint="eastAsia" w:ascii="宋体" w:hAnsi="宋体" w:cs="宋体"/>
          <w:color w:val="auto"/>
          <w:sz w:val="24"/>
        </w:rPr>
      </w:pPr>
    </w:p>
    <w:p>
      <w:pPr>
        <w:snapToGrid w:val="0"/>
        <w:spacing w:before="50" w:after="50" w:line="360" w:lineRule="auto"/>
        <w:ind w:left="-3" w:leftChars="-1" w:right="-1245"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pPr>
        <w:snapToGrid w:val="0"/>
        <w:spacing w:before="50" w:after="50" w:line="360" w:lineRule="auto"/>
        <w:ind w:left="-20" w:leftChars="-15" w:right="-1245" w:rightChars="-389" w:hanging="28" w:hangingChars="12"/>
        <w:rPr>
          <w:rFonts w:hint="eastAsia"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 xml:space="preserve">（盖公章）：                                </w:t>
      </w:r>
    </w:p>
    <w:p>
      <w:pPr>
        <w:snapToGrid w:val="0"/>
        <w:spacing w:before="50" w:after="50" w:line="360" w:lineRule="auto"/>
        <w:ind w:left="-20" w:leftChars="-15" w:right="-1245" w:rightChars="-389" w:hanging="28" w:hangingChars="12"/>
        <w:rPr>
          <w:rFonts w:hint="eastAsia" w:ascii="宋体" w:hAnsi="宋体" w:cs="宋体"/>
          <w:color w:val="auto"/>
          <w:szCs w:val="21"/>
        </w:rPr>
      </w:pPr>
      <w:r>
        <w:rPr>
          <w:rFonts w:hint="eastAsia" w:ascii="宋体" w:hAnsi="宋体" w:cs="宋体"/>
          <w:color w:val="auto"/>
          <w:sz w:val="24"/>
        </w:rPr>
        <w:t>日期：    年   月   日</w:t>
      </w:r>
    </w:p>
    <w:p>
      <w:pPr>
        <w:spacing w:line="360" w:lineRule="auto"/>
        <w:contextualSpacing/>
        <w:jc w:val="center"/>
        <w:rPr>
          <w:rFonts w:hint="eastAsia"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商务要求偏离表</w:t>
      </w:r>
    </w:p>
    <w:tbl>
      <w:tblPr>
        <w:tblStyle w:val="14"/>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3198"/>
        <w:gridCol w:w="3199"/>
        <w:gridCol w:w="13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r>
              <w:rPr>
                <w:rFonts w:hint="eastAsia" w:ascii="宋体" w:hAnsi="宋体" w:cs="宋体"/>
                <w:color w:val="auto"/>
                <w:sz w:val="24"/>
              </w:rPr>
              <w:t>序号</w:t>
            </w:r>
          </w:p>
        </w:tc>
        <w:tc>
          <w:tcPr>
            <w:tcW w:w="319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r>
              <w:rPr>
                <w:rFonts w:hint="eastAsia" w:ascii="宋体" w:hAnsi="宋体" w:cs="宋体"/>
                <w:color w:val="auto"/>
                <w:sz w:val="24"/>
              </w:rPr>
              <w:t>商务要求</w:t>
            </w:r>
          </w:p>
        </w:tc>
        <w:tc>
          <w:tcPr>
            <w:tcW w:w="3199"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lang w:val="en-US" w:eastAsia="zh-CN"/>
              </w:rPr>
              <w:t>响应</w:t>
            </w:r>
          </w:p>
        </w:tc>
        <w:tc>
          <w:tcPr>
            <w:tcW w:w="131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3199"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131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u w:val="single"/>
              </w:rPr>
            </w:pPr>
          </w:p>
        </w:tc>
        <w:tc>
          <w:tcPr>
            <w:tcW w:w="3199"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jc w:val="center"/>
              <w:rPr>
                <w:rFonts w:hint="eastAsia" w:ascii="宋体" w:hAnsi="宋体" w:cs="宋体"/>
                <w:color w:val="auto"/>
                <w:sz w:val="24"/>
              </w:rPr>
            </w:pPr>
          </w:p>
        </w:tc>
        <w:tc>
          <w:tcPr>
            <w:tcW w:w="131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3199"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131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3199"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131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r>
    </w:tbl>
    <w:p>
      <w:pPr>
        <w:spacing w:line="500" w:lineRule="exact"/>
        <w:rPr>
          <w:rFonts w:hint="eastAsia" w:ascii="宋体" w:hAnsi="宋体" w:cs="宋体"/>
          <w:b/>
          <w:bCs/>
          <w:color w:val="auto"/>
          <w:kern w:val="0"/>
          <w:sz w:val="24"/>
        </w:rPr>
      </w:pPr>
      <w:r>
        <w:rPr>
          <w:rFonts w:hint="eastAsia" w:ascii="宋体" w:hAnsi="宋体" w:cs="宋体"/>
          <w:b/>
          <w:bCs/>
          <w:color w:val="auto"/>
          <w:kern w:val="0"/>
          <w:sz w:val="24"/>
        </w:rPr>
        <w:t>注：</w:t>
      </w:r>
    </w:p>
    <w:p>
      <w:pPr>
        <w:spacing w:line="520" w:lineRule="exact"/>
        <w:ind w:firstLine="480" w:firstLineChars="200"/>
        <w:rPr>
          <w:rFonts w:hint="eastAsia" w:ascii="宋体" w:hAnsi="宋体" w:cs="宋体"/>
          <w:color w:val="auto"/>
          <w:kern w:val="0"/>
          <w:sz w:val="32"/>
          <w:szCs w:val="32"/>
        </w:rPr>
      </w:pPr>
      <w:r>
        <w:rPr>
          <w:rFonts w:hint="eastAsia" w:ascii="宋体" w:hAnsi="宋体" w:cs="宋体"/>
          <w:color w:val="auto"/>
          <w:kern w:val="0"/>
          <w:sz w:val="24"/>
        </w:rPr>
        <w:t>1.说明：应对照“采购需求”中的商务要求逐条作明确的响应，并作出偏离说明。</w:t>
      </w:r>
    </w:p>
    <w:p>
      <w:pPr>
        <w:spacing w:line="50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2.供应商应根据自身的承诺，对照要求在“偏离说明”中注明“</w:t>
      </w:r>
      <w:r>
        <w:rPr>
          <w:rFonts w:hint="eastAsia" w:ascii="宋体" w:hAnsi="宋体" w:cs="宋体"/>
          <w:b/>
          <w:bCs/>
          <w:color w:val="auto"/>
          <w:kern w:val="0"/>
          <w:sz w:val="24"/>
        </w:rPr>
        <w:t>正偏离</w:t>
      </w:r>
      <w:r>
        <w:rPr>
          <w:rFonts w:hint="eastAsia" w:ascii="宋体" w:hAnsi="宋体" w:cs="宋体"/>
          <w:color w:val="auto"/>
          <w:kern w:val="0"/>
          <w:sz w:val="24"/>
        </w:rPr>
        <w:t>”、“</w:t>
      </w:r>
      <w:r>
        <w:rPr>
          <w:rFonts w:hint="eastAsia" w:ascii="宋体" w:hAnsi="宋体" w:cs="宋体"/>
          <w:b/>
          <w:bCs/>
          <w:color w:val="auto"/>
          <w:kern w:val="0"/>
          <w:sz w:val="24"/>
        </w:rPr>
        <w:t>负偏离</w:t>
      </w:r>
      <w:r>
        <w:rPr>
          <w:rFonts w:hint="eastAsia" w:ascii="宋体" w:hAnsi="宋体" w:cs="宋体"/>
          <w:color w:val="auto"/>
          <w:kern w:val="0"/>
          <w:sz w:val="24"/>
        </w:rPr>
        <w:t>”或者“</w:t>
      </w:r>
      <w:r>
        <w:rPr>
          <w:rFonts w:hint="eastAsia" w:ascii="宋体" w:hAnsi="宋体" w:cs="宋体"/>
          <w:b/>
          <w:bCs/>
          <w:color w:val="auto"/>
          <w:kern w:val="0"/>
          <w:sz w:val="24"/>
        </w:rPr>
        <w:t>无偏离</w:t>
      </w:r>
      <w:r>
        <w:rPr>
          <w:rFonts w:hint="eastAsia" w:ascii="宋体" w:hAnsi="宋体" w:cs="宋体"/>
          <w:color w:val="auto"/>
          <w:kern w:val="0"/>
          <w:sz w:val="24"/>
        </w:rPr>
        <w:t>”。既不属于“</w:t>
      </w:r>
      <w:r>
        <w:rPr>
          <w:rFonts w:hint="eastAsia" w:ascii="宋体" w:hAnsi="宋体" w:cs="宋体"/>
          <w:b/>
          <w:bCs/>
          <w:color w:val="auto"/>
          <w:kern w:val="0"/>
          <w:sz w:val="24"/>
        </w:rPr>
        <w:t>正偏离</w:t>
      </w:r>
      <w:r>
        <w:rPr>
          <w:rFonts w:hint="eastAsia" w:ascii="宋体" w:hAnsi="宋体" w:cs="宋体"/>
          <w:color w:val="auto"/>
          <w:kern w:val="0"/>
          <w:sz w:val="24"/>
        </w:rPr>
        <w:t>”也不属于“</w:t>
      </w:r>
      <w:r>
        <w:rPr>
          <w:rFonts w:hint="eastAsia" w:ascii="宋体" w:hAnsi="宋体" w:cs="宋体"/>
          <w:b/>
          <w:bCs/>
          <w:color w:val="auto"/>
          <w:kern w:val="0"/>
          <w:sz w:val="24"/>
        </w:rPr>
        <w:t>负偏离</w:t>
      </w:r>
      <w:r>
        <w:rPr>
          <w:rFonts w:hint="eastAsia" w:ascii="宋体" w:hAnsi="宋体" w:cs="宋体"/>
          <w:color w:val="auto"/>
          <w:kern w:val="0"/>
          <w:sz w:val="24"/>
        </w:rPr>
        <w:t>”即为“</w:t>
      </w:r>
      <w:r>
        <w:rPr>
          <w:rFonts w:hint="eastAsia" w:ascii="宋体" w:hAnsi="宋体" w:cs="宋体"/>
          <w:b/>
          <w:bCs/>
          <w:color w:val="auto"/>
          <w:kern w:val="0"/>
          <w:sz w:val="24"/>
        </w:rPr>
        <w:t>无偏离</w:t>
      </w:r>
      <w:r>
        <w:rPr>
          <w:rFonts w:hint="eastAsia" w:ascii="宋体" w:hAnsi="宋体" w:cs="宋体"/>
          <w:color w:val="auto"/>
          <w:kern w:val="0"/>
          <w:sz w:val="24"/>
        </w:rPr>
        <w:t>”。</w:t>
      </w:r>
    </w:p>
    <w:p>
      <w:pPr>
        <w:spacing w:line="500" w:lineRule="exact"/>
        <w:ind w:firstLine="480" w:firstLineChars="200"/>
        <w:rPr>
          <w:rFonts w:hint="eastAsia" w:ascii="宋体" w:hAnsi="宋体" w:cs="宋体"/>
          <w:color w:val="auto"/>
          <w:kern w:val="0"/>
          <w:sz w:val="24"/>
        </w:rPr>
      </w:pPr>
    </w:p>
    <w:p>
      <w:pPr>
        <w:spacing w:line="500" w:lineRule="exact"/>
        <w:ind w:firstLine="480" w:firstLineChars="200"/>
        <w:rPr>
          <w:rFonts w:hint="eastAsia" w:ascii="宋体" w:hAnsi="宋体" w:cs="宋体"/>
          <w:color w:val="auto"/>
          <w:kern w:val="0"/>
          <w:sz w:val="24"/>
        </w:rPr>
      </w:pPr>
    </w:p>
    <w:p>
      <w:pPr>
        <w:spacing w:line="500" w:lineRule="exact"/>
        <w:ind w:firstLine="480" w:firstLineChars="200"/>
        <w:rPr>
          <w:rFonts w:hint="eastAsia" w:ascii="宋体" w:hAnsi="宋体" w:cs="宋体"/>
          <w:color w:val="auto"/>
          <w:kern w:val="0"/>
          <w:sz w:val="24"/>
        </w:rPr>
      </w:pPr>
    </w:p>
    <w:p>
      <w:pPr>
        <w:spacing w:line="500" w:lineRule="exact"/>
        <w:ind w:firstLine="480" w:firstLineChars="200"/>
        <w:rPr>
          <w:rFonts w:hint="eastAsia" w:ascii="宋体" w:hAnsi="宋体" w:cs="宋体"/>
          <w:color w:val="auto"/>
          <w:kern w:val="0"/>
          <w:sz w:val="24"/>
        </w:rPr>
      </w:pPr>
    </w:p>
    <w:p>
      <w:pPr>
        <w:snapToGrid w:val="0"/>
        <w:spacing w:before="50" w:after="50"/>
        <w:rPr>
          <w:rFonts w:hint="eastAsia" w:ascii="宋体" w:hAnsi="宋体" w:cs="宋体"/>
          <w:color w:val="auto"/>
          <w:sz w:val="24"/>
        </w:rPr>
      </w:pPr>
      <w:r>
        <w:rPr>
          <w:rFonts w:hint="eastAsia" w:ascii="宋体" w:hAnsi="宋体" w:cs="宋体"/>
          <w:color w:val="auto"/>
          <w:sz w:val="24"/>
        </w:rPr>
        <w:t xml:space="preserve">    </w:t>
      </w:r>
    </w:p>
    <w:p>
      <w:pPr>
        <w:snapToGrid w:val="0"/>
        <w:spacing w:before="50" w:after="50" w:line="360" w:lineRule="auto"/>
        <w:ind w:left="-3" w:leftChars="-1" w:right="-1245"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pPr>
        <w:snapToGrid w:val="0"/>
        <w:spacing w:before="50" w:after="50" w:line="360" w:lineRule="auto"/>
        <w:ind w:left="-20" w:leftChars="-15" w:right="-1245" w:rightChars="-389" w:hanging="28" w:hangingChars="12"/>
        <w:rPr>
          <w:rFonts w:hint="eastAsia" w:ascii="宋体" w:hAnsi="宋体" w:cs="宋体"/>
          <w:color w:val="auto"/>
          <w:sz w:val="24"/>
        </w:rPr>
      </w:pPr>
      <w:r>
        <w:rPr>
          <w:rFonts w:hint="eastAsia" w:ascii="宋体" w:hAnsi="宋体" w:cs="宋体"/>
          <w:color w:val="auto"/>
          <w:sz w:val="24"/>
        </w:rPr>
        <w:t xml:space="preserve">供应商（盖公章）：                                </w:t>
      </w:r>
    </w:p>
    <w:p>
      <w:pPr>
        <w:snapToGrid w:val="0"/>
        <w:spacing w:before="50" w:after="50" w:line="360" w:lineRule="auto"/>
        <w:ind w:left="-20" w:leftChars="-15" w:right="-1245" w:rightChars="-389" w:hanging="28" w:hangingChars="12"/>
        <w:rPr>
          <w:rFonts w:hint="eastAsia" w:ascii="宋体" w:hAnsi="宋体" w:cs="宋体"/>
          <w:color w:val="auto"/>
          <w:szCs w:val="21"/>
        </w:rPr>
      </w:pPr>
      <w:r>
        <w:rPr>
          <w:rFonts w:hint="eastAsia" w:ascii="宋体" w:hAnsi="宋体" w:cs="宋体"/>
          <w:color w:val="auto"/>
          <w:sz w:val="24"/>
        </w:rPr>
        <w:t>日期：    年   月   日</w:t>
      </w:r>
    </w:p>
    <w:p>
      <w:pPr>
        <w:snapToGrid w:val="0"/>
        <w:spacing w:before="50" w:after="50"/>
        <w:jc w:val="center"/>
        <w:rPr>
          <w:rFonts w:hint="eastAsia" w:ascii="宋体" w:hAnsi="宋体" w:cs="宋体"/>
          <w:b/>
          <w:color w:val="auto"/>
          <w:sz w:val="32"/>
          <w:szCs w:val="32"/>
        </w:rPr>
      </w:pPr>
      <w:r>
        <w:rPr>
          <w:rFonts w:hint="eastAsia" w:ascii="仿宋_GB2312" w:hAnsi="仿宋_GB2312" w:eastAsia="仿宋_GB2312" w:cs="仿宋_GB2312"/>
          <w:color w:val="auto"/>
          <w:sz w:val="28"/>
          <w:szCs w:val="28"/>
          <w:lang w:val="en-US" w:eastAsia="zh-CN"/>
        </w:rPr>
        <w:br w:type="page"/>
      </w:r>
      <w:r>
        <w:rPr>
          <w:rFonts w:hint="eastAsia" w:ascii="宋体" w:hAnsi="宋体" w:eastAsia="仿宋_GB2312" w:cs="宋体"/>
          <w:b/>
          <w:color w:val="auto"/>
          <w:sz w:val="32"/>
          <w:szCs w:val="32"/>
          <w:lang w:val="en-US" w:eastAsia="zh-CN"/>
        </w:rPr>
        <w:t>报</w:t>
      </w:r>
      <w:r>
        <w:rPr>
          <w:rFonts w:hint="eastAsia" w:ascii="宋体" w:hAnsi="宋体" w:cs="宋体"/>
          <w:b/>
          <w:color w:val="auto"/>
          <w:sz w:val="32"/>
          <w:szCs w:val="32"/>
        </w:rPr>
        <w:t>价一览表</w:t>
      </w:r>
    </w:p>
    <w:p>
      <w:pPr>
        <w:snapToGrid w:val="0"/>
        <w:spacing w:before="50" w:after="50"/>
        <w:jc w:val="center"/>
        <w:rPr>
          <w:rFonts w:hint="eastAsia" w:ascii="宋体" w:hAnsi="宋体" w:cs="宋体"/>
          <w:b/>
          <w:color w:val="auto"/>
          <w:sz w:val="30"/>
          <w:szCs w:val="20"/>
        </w:rPr>
      </w:pPr>
    </w:p>
    <w:p>
      <w:pPr>
        <w:snapToGrid w:val="0"/>
        <w:spacing w:before="50" w:after="50" w:line="360" w:lineRule="auto"/>
        <w:rPr>
          <w:rFonts w:hint="eastAsia"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napToGrid w:val="0"/>
        <w:spacing w:before="50" w:after="50" w:line="360" w:lineRule="auto"/>
        <w:rPr>
          <w:rFonts w:hint="eastAsia"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名称：</w:t>
      </w:r>
      <w:r>
        <w:rPr>
          <w:rFonts w:hint="eastAsia" w:ascii="宋体" w:hAnsi="宋体" w:cs="宋体"/>
          <w:color w:val="auto"/>
          <w:sz w:val="24"/>
          <w:u w:val="single"/>
        </w:rPr>
        <w:t xml:space="preserve">                     </w:t>
      </w:r>
      <w:r>
        <w:rPr>
          <w:rFonts w:hint="eastAsia" w:ascii="宋体" w:hAnsi="宋体" w:cs="宋体"/>
          <w:color w:val="auto"/>
          <w:sz w:val="24"/>
        </w:rPr>
        <w:t xml:space="preserve">                       单位：元</w:t>
      </w:r>
    </w:p>
    <w:tbl>
      <w:tblPr>
        <w:tblStyle w:val="14"/>
        <w:tblW w:w="54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9"/>
        <w:gridCol w:w="1326"/>
        <w:gridCol w:w="2211"/>
        <w:gridCol w:w="1312"/>
        <w:gridCol w:w="929"/>
        <w:gridCol w:w="922"/>
        <w:gridCol w:w="1220"/>
        <w:gridCol w:w="12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序号</w:t>
            </w:r>
          </w:p>
        </w:tc>
        <w:tc>
          <w:tcPr>
            <w:tcW w:w="67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lang w:val="en-US" w:eastAsia="zh-CN"/>
              </w:rPr>
              <w:t>货物</w:t>
            </w:r>
            <w:r>
              <w:rPr>
                <w:rFonts w:hint="eastAsia" w:ascii="宋体" w:hAnsi="宋体" w:cs="宋体"/>
                <w:b/>
                <w:color w:val="auto"/>
                <w:sz w:val="24"/>
              </w:rPr>
              <w:t>名称</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产品名称、生产厂家及国别</w:t>
            </w:r>
          </w:p>
        </w:tc>
        <w:tc>
          <w:tcPr>
            <w:tcW w:w="66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品牌、规格型号</w:t>
            </w:r>
          </w:p>
        </w:tc>
        <w:tc>
          <w:tcPr>
            <w:tcW w:w="47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数量及单位①</w:t>
            </w:r>
          </w:p>
        </w:tc>
        <w:tc>
          <w:tcPr>
            <w:tcW w:w="46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单价</w:t>
            </w:r>
          </w:p>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②</w:t>
            </w:r>
          </w:p>
        </w:tc>
        <w:tc>
          <w:tcPr>
            <w:tcW w:w="62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投标报价</w:t>
            </w:r>
          </w:p>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③=①×②</w:t>
            </w:r>
          </w:p>
        </w:tc>
        <w:tc>
          <w:tcPr>
            <w:tcW w:w="63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1</w:t>
            </w:r>
          </w:p>
        </w:tc>
        <w:tc>
          <w:tcPr>
            <w:tcW w:w="67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7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3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2</w:t>
            </w:r>
          </w:p>
        </w:tc>
        <w:tc>
          <w:tcPr>
            <w:tcW w:w="67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7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3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w:t>
            </w:r>
          </w:p>
        </w:tc>
        <w:tc>
          <w:tcPr>
            <w:tcW w:w="67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7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3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r>
              <w:rPr>
                <w:rFonts w:hint="eastAsia" w:ascii="宋体" w:hAnsi="宋体" w:cs="宋体"/>
                <w:color w:val="auto"/>
                <w:sz w:val="24"/>
              </w:rPr>
              <w:t>合计金额大写：人民币</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p>
        </w:tc>
      </w:tr>
    </w:tbl>
    <w:p>
      <w:pPr>
        <w:snapToGrid w:val="0"/>
        <w:spacing w:before="50" w:after="50" w:line="360" w:lineRule="auto"/>
        <w:jc w:val="left"/>
        <w:rPr>
          <w:rFonts w:hint="eastAsia" w:ascii="宋体" w:hAnsi="宋体" w:cs="宋体"/>
          <w:color w:val="auto"/>
          <w:sz w:val="24"/>
        </w:rPr>
      </w:pPr>
      <w:r>
        <w:rPr>
          <w:rFonts w:hint="eastAsia" w:ascii="宋体" w:hAnsi="宋体" w:cs="宋体"/>
          <w:color w:val="auto"/>
          <w:sz w:val="24"/>
        </w:rPr>
        <w:t xml:space="preserve">注： </w:t>
      </w:r>
    </w:p>
    <w:p>
      <w:pPr>
        <w:snapToGrid w:val="0"/>
        <w:spacing w:before="50" w:after="50" w:line="360" w:lineRule="auto"/>
        <w:ind w:firstLine="480" w:firstLineChars="20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一览表必须加盖</w:t>
      </w:r>
      <w:r>
        <w:rPr>
          <w:rFonts w:hint="eastAsia" w:ascii="宋体" w:hAnsi="宋体" w:cs="宋体"/>
          <w:color w:val="auto"/>
          <w:sz w:val="24"/>
          <w:lang w:val="en-US" w:eastAsia="zh-CN"/>
        </w:rPr>
        <w:t>供应商</w:t>
      </w:r>
      <w:r>
        <w:rPr>
          <w:rFonts w:hint="eastAsia" w:ascii="宋体" w:hAnsi="宋体" w:cs="宋体"/>
          <w:color w:val="auto"/>
          <w:sz w:val="24"/>
        </w:rPr>
        <w:t>公章并由法定代表人或者委托代理人签字，</w:t>
      </w:r>
      <w:r>
        <w:rPr>
          <w:rFonts w:hint="eastAsia" w:ascii="宋体" w:hAnsi="宋体" w:cs="宋体"/>
          <w:b/>
          <w:color w:val="auto"/>
          <w:sz w:val="24"/>
        </w:rPr>
        <w:t>否则其</w:t>
      </w:r>
      <w:r>
        <w:rPr>
          <w:rFonts w:hint="eastAsia" w:ascii="宋体" w:hAnsi="宋体" w:cs="宋体"/>
          <w:b/>
          <w:color w:val="auto"/>
          <w:sz w:val="24"/>
          <w:lang w:val="en-US" w:eastAsia="zh-CN"/>
        </w:rPr>
        <w:t>报</w:t>
      </w:r>
      <w:r>
        <w:rPr>
          <w:rFonts w:hint="eastAsia" w:ascii="宋体" w:hAnsi="宋体" w:cs="宋体"/>
          <w:b/>
          <w:color w:val="auto"/>
          <w:sz w:val="24"/>
        </w:rPr>
        <w:t>价作无效响应处理</w:t>
      </w:r>
      <w:r>
        <w:rPr>
          <w:rFonts w:hint="eastAsia" w:ascii="宋体" w:hAnsi="宋体" w:cs="宋体"/>
          <w:color w:val="auto"/>
          <w:sz w:val="24"/>
        </w:rPr>
        <w:t>。</w:t>
      </w:r>
    </w:p>
    <w:p>
      <w:pPr>
        <w:snapToGrid w:val="0"/>
        <w:spacing w:before="50" w:after="50" w:line="360" w:lineRule="auto"/>
        <w:ind w:firstLine="480" w:firstLineChars="200"/>
        <w:jc w:val="left"/>
        <w:rPr>
          <w:rFonts w:hint="eastAsia" w:ascii="宋体" w:hAnsi="宋体" w:cs="宋体"/>
          <w:b/>
          <w:color w:val="auto"/>
          <w:sz w:val="24"/>
        </w:rPr>
      </w:pPr>
      <w:r>
        <w:rPr>
          <w:rFonts w:hint="eastAsia" w:ascii="宋体" w:hAnsi="宋体" w:cs="宋体"/>
          <w:bCs/>
          <w:color w:val="auto"/>
          <w:sz w:val="24"/>
        </w:rPr>
        <w:t>2.</w:t>
      </w:r>
      <w:r>
        <w:rPr>
          <w:rFonts w:hint="eastAsia" w:ascii="宋体" w:hAnsi="宋体" w:cs="宋体"/>
          <w:color w:val="auto"/>
          <w:sz w:val="24"/>
        </w:rPr>
        <w:t>报价一经涂改，应在涂改处加盖</w:t>
      </w:r>
      <w:r>
        <w:rPr>
          <w:rFonts w:hint="eastAsia" w:ascii="宋体" w:hAnsi="宋体" w:cs="宋体"/>
          <w:color w:val="auto"/>
          <w:sz w:val="24"/>
          <w:lang w:val="en-US" w:eastAsia="zh-CN"/>
        </w:rPr>
        <w:t>供应商</w:t>
      </w:r>
      <w:r>
        <w:rPr>
          <w:rFonts w:hint="eastAsia" w:ascii="宋体" w:hAnsi="宋体" w:cs="宋体"/>
          <w:color w:val="auto"/>
          <w:sz w:val="24"/>
        </w:rPr>
        <w:t>公章或者由法定代表人或者委托代理人签字或者盖章</w:t>
      </w:r>
      <w:r>
        <w:rPr>
          <w:rFonts w:hint="eastAsia" w:ascii="宋体" w:hAnsi="宋体" w:cs="宋体"/>
          <w:b/>
          <w:color w:val="auto"/>
          <w:sz w:val="24"/>
        </w:rPr>
        <w:t>，否则其</w:t>
      </w:r>
      <w:r>
        <w:rPr>
          <w:rFonts w:hint="eastAsia" w:ascii="宋体" w:hAnsi="宋体" w:cs="宋体"/>
          <w:b/>
          <w:color w:val="auto"/>
          <w:sz w:val="24"/>
          <w:lang w:val="en-US" w:eastAsia="zh-CN"/>
        </w:rPr>
        <w:t>报</w:t>
      </w:r>
      <w:r>
        <w:rPr>
          <w:rFonts w:hint="eastAsia" w:ascii="宋体" w:hAnsi="宋体" w:cs="宋体"/>
          <w:b/>
          <w:color w:val="auto"/>
          <w:sz w:val="24"/>
        </w:rPr>
        <w:t>价作无效响应处理。</w:t>
      </w:r>
    </w:p>
    <w:p>
      <w:pPr>
        <w:snapToGrid w:val="0"/>
        <w:spacing w:before="50" w:after="50" w:line="360" w:lineRule="auto"/>
        <w:ind w:firstLine="480" w:firstLineChars="200"/>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报价</w:t>
      </w:r>
      <w:r>
        <w:rPr>
          <w:rFonts w:hint="eastAsia" w:ascii="宋体" w:hAnsi="宋体" w:cs="宋体"/>
          <w:color w:val="auto"/>
          <w:sz w:val="24"/>
        </w:rPr>
        <w:t>中列明采购专用耗材的，应按</w:t>
      </w:r>
      <w:r>
        <w:rPr>
          <w:rFonts w:hint="eastAsia" w:ascii="宋体" w:hAnsi="宋体" w:cs="宋体"/>
          <w:color w:val="auto"/>
          <w:sz w:val="24"/>
          <w:lang w:val="en-US" w:eastAsia="zh-CN"/>
        </w:rPr>
        <w:t>采购需求</w:t>
      </w:r>
      <w:r>
        <w:rPr>
          <w:rFonts w:hint="eastAsia" w:ascii="宋体" w:hAnsi="宋体" w:cs="宋体"/>
          <w:color w:val="auto"/>
          <w:sz w:val="24"/>
        </w:rPr>
        <w:t>规定的耗材量或者按耗材的常规试用量提供报价。</w:t>
      </w:r>
    </w:p>
    <w:p>
      <w:pPr>
        <w:snapToGrid w:val="0"/>
        <w:spacing w:before="50" w:after="50" w:line="360" w:lineRule="auto"/>
        <w:ind w:firstLine="482" w:firstLineChars="200"/>
        <w:rPr>
          <w:rFonts w:hint="eastAsia" w:ascii="宋体" w:hAnsi="宋体" w:cs="宋体"/>
          <w:b/>
          <w:color w:val="auto"/>
          <w:sz w:val="24"/>
        </w:rPr>
      </w:pPr>
    </w:p>
    <w:p>
      <w:pPr>
        <w:snapToGrid w:val="0"/>
        <w:spacing w:before="50" w:after="50" w:line="360" w:lineRule="auto"/>
        <w:ind w:left="-3" w:leftChars="-1" w:right="-1245"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pPr>
        <w:snapToGrid w:val="0"/>
        <w:spacing w:before="50" w:after="50" w:line="360" w:lineRule="auto"/>
        <w:ind w:left="-20" w:leftChars="-15" w:right="-1245" w:rightChars="-389" w:hanging="28" w:hangingChars="12"/>
        <w:rPr>
          <w:rFonts w:hint="eastAsia"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 xml:space="preserve">（盖公章）：                                </w:t>
      </w:r>
    </w:p>
    <w:p>
      <w:pPr>
        <w:snapToGrid w:val="0"/>
        <w:spacing w:before="50" w:after="50" w:line="360" w:lineRule="auto"/>
        <w:ind w:left="-20" w:leftChars="-15" w:right="-1245" w:rightChars="-389" w:hanging="28" w:hangingChars="12"/>
        <w:rPr>
          <w:rFonts w:hint="eastAsia" w:ascii="宋体" w:hAnsi="宋体" w:cs="宋体"/>
          <w:color w:val="auto"/>
          <w:szCs w:val="21"/>
        </w:rPr>
      </w:pPr>
      <w:r>
        <w:rPr>
          <w:rFonts w:hint="eastAsia" w:ascii="宋体" w:hAnsi="宋体" w:cs="宋体"/>
          <w:color w:val="auto"/>
          <w:sz w:val="24"/>
        </w:rPr>
        <w:t>日期：    年   月   日</w:t>
      </w:r>
    </w:p>
    <w:p>
      <w:pPr>
        <w:spacing w:line="360" w:lineRule="auto"/>
        <w:contextualSpacing/>
        <w:jc w:val="center"/>
        <w:rPr>
          <w:rFonts w:hint="eastAsia" w:ascii="宋体" w:hAnsi="宋体" w:cs="宋体"/>
          <w:b/>
          <w:color w:val="auto"/>
          <w:sz w:val="32"/>
          <w:szCs w:val="32"/>
        </w:rPr>
      </w:pPr>
      <w:r>
        <w:rPr>
          <w:rFonts w:hint="eastAsia" w:ascii="仿宋_GB2312" w:hAnsi="仿宋_GB2312" w:eastAsia="仿宋_GB2312" w:cs="仿宋_GB2312"/>
          <w:color w:val="auto"/>
          <w:sz w:val="28"/>
          <w:szCs w:val="28"/>
          <w:lang w:val="en-US" w:eastAsia="zh-CN"/>
        </w:rPr>
        <w:br w:type="page"/>
      </w:r>
      <w:r>
        <w:rPr>
          <w:rFonts w:hint="eastAsia" w:ascii="宋体" w:hAnsi="宋体" w:cs="宋体"/>
          <w:b/>
          <w:color w:val="auto"/>
          <w:spacing w:val="-11"/>
          <w:sz w:val="32"/>
          <w:szCs w:val="32"/>
          <w:lang w:val="en-US" w:eastAsia="zh-CN"/>
        </w:rPr>
        <w:t>供应商</w:t>
      </w:r>
      <w:r>
        <w:rPr>
          <w:rFonts w:hint="eastAsia" w:ascii="宋体" w:hAnsi="宋体" w:cs="宋体"/>
          <w:b/>
          <w:color w:val="auto"/>
          <w:spacing w:val="-11"/>
          <w:sz w:val="32"/>
          <w:szCs w:val="32"/>
        </w:rPr>
        <w:t>参加本项目无围标串标行为的承诺函</w:t>
      </w:r>
    </w:p>
    <w:p>
      <w:pPr>
        <w:spacing w:line="360" w:lineRule="auto"/>
        <w:contextualSpacing/>
        <w:jc w:val="left"/>
        <w:rPr>
          <w:rFonts w:hint="eastAsia" w:ascii="宋体" w:hAnsi="宋体" w:cs="宋体"/>
          <w:b/>
          <w:color w:val="auto"/>
          <w:sz w:val="24"/>
        </w:rPr>
      </w:pPr>
    </w:p>
    <w:p>
      <w:pPr>
        <w:spacing w:line="360" w:lineRule="auto"/>
        <w:contextualSpacing/>
        <w:jc w:val="left"/>
        <w:rPr>
          <w:rFonts w:hint="eastAsia" w:ascii="宋体" w:hAnsi="宋体" w:cs="宋体"/>
          <w:b/>
          <w:color w:val="auto"/>
          <w:sz w:val="24"/>
        </w:rPr>
      </w:pPr>
      <w:r>
        <w:rPr>
          <w:rFonts w:hint="eastAsia" w:ascii="宋体" w:hAnsi="宋体" w:cs="宋体"/>
          <w:b/>
          <w:color w:val="auto"/>
          <w:sz w:val="24"/>
        </w:rPr>
        <w:t>一、我方承诺无下列相互串通</w:t>
      </w:r>
      <w:r>
        <w:rPr>
          <w:rFonts w:hint="eastAsia" w:ascii="宋体" w:hAnsi="宋体" w:cs="宋体"/>
          <w:b/>
          <w:color w:val="auto"/>
          <w:sz w:val="24"/>
          <w:lang w:val="en-US" w:eastAsia="zh-CN"/>
        </w:rPr>
        <w:t>报</w:t>
      </w:r>
      <w:r>
        <w:rPr>
          <w:rFonts w:hint="eastAsia" w:ascii="宋体" w:hAnsi="宋体" w:cs="宋体"/>
          <w:b/>
          <w:color w:val="auto"/>
          <w:sz w:val="24"/>
        </w:rPr>
        <w:t>价的情形：</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1.不同</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w:t>
      </w:r>
      <w:r>
        <w:rPr>
          <w:rFonts w:hint="eastAsia" w:ascii="宋体" w:hAnsi="宋体" w:cs="宋体"/>
          <w:color w:val="auto"/>
          <w:sz w:val="24"/>
        </w:rPr>
        <w:t>价文件由同一单位或者个人编制；</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2.不同</w:t>
      </w:r>
      <w:r>
        <w:rPr>
          <w:rFonts w:hint="eastAsia" w:ascii="宋体" w:hAnsi="宋体" w:cs="宋体"/>
          <w:color w:val="auto"/>
          <w:sz w:val="24"/>
          <w:lang w:val="en-US" w:eastAsia="zh-CN"/>
        </w:rPr>
        <w:t>供应商</w:t>
      </w:r>
      <w:r>
        <w:rPr>
          <w:rFonts w:hint="eastAsia" w:ascii="宋体" w:hAnsi="宋体" w:cs="宋体"/>
          <w:color w:val="auto"/>
          <w:sz w:val="24"/>
        </w:rPr>
        <w:t>委托同一单位或者个人办理</w:t>
      </w:r>
      <w:r>
        <w:rPr>
          <w:rFonts w:hint="eastAsia" w:ascii="宋体" w:hAnsi="宋体" w:cs="宋体"/>
          <w:color w:val="auto"/>
          <w:sz w:val="24"/>
          <w:lang w:val="en-US" w:eastAsia="zh-CN"/>
        </w:rPr>
        <w:t>报</w:t>
      </w:r>
      <w:r>
        <w:rPr>
          <w:rFonts w:hint="eastAsia" w:ascii="宋体" w:hAnsi="宋体" w:cs="宋体"/>
          <w:color w:val="auto"/>
          <w:sz w:val="24"/>
        </w:rPr>
        <w:t>价事宜；</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3.不同的</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w:t>
      </w:r>
      <w:r>
        <w:rPr>
          <w:rFonts w:hint="eastAsia" w:ascii="宋体" w:hAnsi="宋体" w:cs="宋体"/>
          <w:color w:val="auto"/>
          <w:sz w:val="24"/>
        </w:rPr>
        <w:t>价文件载明的项目管理员为同一个人；</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4.不同</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w:t>
      </w:r>
      <w:r>
        <w:rPr>
          <w:rFonts w:hint="eastAsia" w:ascii="宋体" w:hAnsi="宋体" w:cs="宋体"/>
          <w:color w:val="auto"/>
          <w:sz w:val="24"/>
        </w:rPr>
        <w:t>价文件异常一致或者报价呈规律性差异；</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5.不同</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w:t>
      </w:r>
      <w:r>
        <w:rPr>
          <w:rFonts w:hint="eastAsia" w:ascii="宋体" w:hAnsi="宋体" w:cs="宋体"/>
          <w:color w:val="auto"/>
          <w:sz w:val="24"/>
        </w:rPr>
        <w:t>价文件相互混装；</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6.不同</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w:t>
      </w:r>
      <w:r>
        <w:rPr>
          <w:rFonts w:hint="eastAsia" w:ascii="宋体" w:hAnsi="宋体" w:cs="宋体"/>
          <w:color w:val="auto"/>
          <w:sz w:val="24"/>
        </w:rPr>
        <w:t>价保证金从同一单位或者个人账户转出。</w:t>
      </w:r>
    </w:p>
    <w:p>
      <w:pPr>
        <w:spacing w:line="360" w:lineRule="auto"/>
        <w:contextualSpacing/>
        <w:jc w:val="left"/>
        <w:rPr>
          <w:rFonts w:hint="eastAsia" w:ascii="宋体" w:hAnsi="宋体" w:cs="宋体"/>
          <w:color w:val="auto"/>
          <w:sz w:val="24"/>
        </w:rPr>
      </w:pPr>
      <w:r>
        <w:rPr>
          <w:rFonts w:hint="eastAsia" w:ascii="宋体" w:hAnsi="宋体" w:cs="宋体"/>
          <w:b/>
          <w:color w:val="auto"/>
          <w:sz w:val="24"/>
        </w:rPr>
        <w:t>二、我方承诺无下列恶意串通的情形：</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供应商</w:t>
      </w:r>
      <w:r>
        <w:rPr>
          <w:rFonts w:hint="eastAsia" w:ascii="宋体" w:hAnsi="宋体" w:cs="宋体"/>
          <w:color w:val="auto"/>
          <w:sz w:val="24"/>
        </w:rPr>
        <w:t>直接或者间接从采购人或者采购代理机构处获得其他</w:t>
      </w:r>
      <w:r>
        <w:rPr>
          <w:rFonts w:hint="eastAsia" w:ascii="宋体" w:hAnsi="宋体" w:cs="宋体"/>
          <w:color w:val="auto"/>
          <w:sz w:val="24"/>
          <w:lang w:val="en-US" w:eastAsia="zh-CN"/>
        </w:rPr>
        <w:t>供应商</w:t>
      </w:r>
      <w:r>
        <w:rPr>
          <w:rFonts w:hint="eastAsia" w:ascii="宋体" w:hAnsi="宋体" w:cs="宋体"/>
          <w:color w:val="auto"/>
          <w:sz w:val="24"/>
        </w:rPr>
        <w:t>的相关信息并修改其</w:t>
      </w:r>
      <w:r>
        <w:rPr>
          <w:rFonts w:hint="eastAsia" w:ascii="宋体" w:hAnsi="宋体" w:cs="宋体"/>
          <w:color w:val="auto"/>
          <w:sz w:val="24"/>
          <w:lang w:val="en-US" w:eastAsia="zh-CN"/>
        </w:rPr>
        <w:t>报</w:t>
      </w:r>
      <w:r>
        <w:rPr>
          <w:rFonts w:hint="eastAsia" w:ascii="宋体" w:hAnsi="宋体" w:cs="宋体"/>
          <w:color w:val="auto"/>
          <w:sz w:val="24"/>
        </w:rPr>
        <w:t>价或者响应文件；</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供应商</w:t>
      </w:r>
      <w:r>
        <w:rPr>
          <w:rFonts w:hint="eastAsia" w:ascii="宋体" w:hAnsi="宋体" w:cs="宋体"/>
          <w:color w:val="auto"/>
          <w:sz w:val="24"/>
        </w:rPr>
        <w:t>按照采购人或者采购代理机构的授意撤换、修改</w:t>
      </w:r>
      <w:r>
        <w:rPr>
          <w:rFonts w:hint="eastAsia" w:ascii="宋体" w:hAnsi="宋体" w:cs="宋体"/>
          <w:color w:val="auto"/>
          <w:sz w:val="24"/>
          <w:lang w:val="en-US" w:eastAsia="zh-CN"/>
        </w:rPr>
        <w:t>报</w:t>
      </w:r>
      <w:r>
        <w:rPr>
          <w:rFonts w:hint="eastAsia" w:ascii="宋体" w:hAnsi="宋体" w:cs="宋体"/>
          <w:color w:val="auto"/>
          <w:sz w:val="24"/>
        </w:rPr>
        <w:t>价或者响应文件；</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供应商</w:t>
      </w:r>
      <w:r>
        <w:rPr>
          <w:rFonts w:hint="eastAsia" w:ascii="宋体" w:hAnsi="宋体" w:cs="宋体"/>
          <w:color w:val="auto"/>
          <w:sz w:val="24"/>
        </w:rPr>
        <w:t>之间协商报价、技术方案等</w:t>
      </w:r>
      <w:r>
        <w:rPr>
          <w:rFonts w:hint="eastAsia" w:ascii="宋体" w:hAnsi="宋体" w:cs="宋体"/>
          <w:color w:val="auto"/>
          <w:sz w:val="24"/>
          <w:lang w:val="en-US" w:eastAsia="zh-CN"/>
        </w:rPr>
        <w:t>报</w:t>
      </w:r>
      <w:r>
        <w:rPr>
          <w:rFonts w:hint="eastAsia" w:ascii="宋体" w:hAnsi="宋体" w:cs="宋体"/>
          <w:color w:val="auto"/>
          <w:sz w:val="24"/>
        </w:rPr>
        <w:t>价或者响应文件的实质性内容；</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4.属于同一集团、协会、商会等组织成员的</w:t>
      </w:r>
      <w:r>
        <w:rPr>
          <w:rFonts w:hint="eastAsia" w:ascii="宋体" w:hAnsi="宋体" w:cs="宋体"/>
          <w:color w:val="auto"/>
          <w:sz w:val="24"/>
          <w:lang w:val="en-US" w:eastAsia="zh-CN"/>
        </w:rPr>
        <w:t>供应商</w:t>
      </w:r>
      <w:r>
        <w:rPr>
          <w:rFonts w:hint="eastAsia" w:ascii="宋体" w:hAnsi="宋体" w:cs="宋体"/>
          <w:color w:val="auto"/>
          <w:sz w:val="24"/>
        </w:rPr>
        <w:t>按照该组织要求协同参加政府采购活动；</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供应商</w:t>
      </w:r>
      <w:r>
        <w:rPr>
          <w:rFonts w:hint="eastAsia" w:ascii="宋体" w:hAnsi="宋体" w:cs="宋体"/>
          <w:color w:val="auto"/>
          <w:sz w:val="24"/>
        </w:rPr>
        <w:t>之间事先约定一致抬高或者压低报价，或者在</w:t>
      </w:r>
      <w:r>
        <w:rPr>
          <w:rFonts w:hint="eastAsia" w:ascii="宋体" w:hAnsi="宋体" w:cs="宋体"/>
          <w:color w:val="auto"/>
          <w:sz w:val="24"/>
          <w:lang w:val="en-US" w:eastAsia="zh-CN"/>
        </w:rPr>
        <w:t>报</w:t>
      </w:r>
      <w:r>
        <w:rPr>
          <w:rFonts w:hint="eastAsia" w:ascii="宋体" w:hAnsi="宋体" w:cs="宋体"/>
          <w:color w:val="auto"/>
          <w:sz w:val="24"/>
        </w:rPr>
        <w:t>价项目中事先约定轮流以高价位或者低价位中标，或者事先约定由某一特定</w:t>
      </w:r>
      <w:r>
        <w:rPr>
          <w:rFonts w:hint="eastAsia" w:ascii="宋体" w:hAnsi="宋体" w:cs="宋体"/>
          <w:color w:val="auto"/>
          <w:sz w:val="24"/>
          <w:lang w:val="en-US" w:eastAsia="zh-CN"/>
        </w:rPr>
        <w:t>供应商</w:t>
      </w:r>
      <w:r>
        <w:rPr>
          <w:rFonts w:hint="eastAsia" w:ascii="宋体" w:hAnsi="宋体" w:cs="宋体"/>
          <w:color w:val="auto"/>
          <w:sz w:val="24"/>
        </w:rPr>
        <w:t>中标，然后再参加</w:t>
      </w:r>
      <w:r>
        <w:rPr>
          <w:rFonts w:hint="eastAsia" w:ascii="宋体" w:hAnsi="宋体" w:cs="宋体"/>
          <w:color w:val="auto"/>
          <w:sz w:val="24"/>
          <w:lang w:val="en-US" w:eastAsia="zh-CN"/>
        </w:rPr>
        <w:t>报</w:t>
      </w:r>
      <w:r>
        <w:rPr>
          <w:rFonts w:hint="eastAsia" w:ascii="宋体" w:hAnsi="宋体" w:cs="宋体"/>
          <w:color w:val="auto"/>
          <w:sz w:val="24"/>
        </w:rPr>
        <w:t>价；</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供应商</w:t>
      </w:r>
      <w:r>
        <w:rPr>
          <w:rFonts w:hint="eastAsia" w:ascii="宋体" w:hAnsi="宋体" w:cs="宋体"/>
          <w:color w:val="auto"/>
          <w:sz w:val="24"/>
        </w:rPr>
        <w:t>之间商定部分</w:t>
      </w:r>
      <w:r>
        <w:rPr>
          <w:rFonts w:hint="eastAsia" w:ascii="宋体" w:hAnsi="宋体" w:cs="宋体"/>
          <w:color w:val="auto"/>
          <w:sz w:val="24"/>
          <w:lang w:val="en-US" w:eastAsia="zh-CN"/>
        </w:rPr>
        <w:t>供应商</w:t>
      </w:r>
      <w:r>
        <w:rPr>
          <w:rFonts w:hint="eastAsia" w:ascii="宋体" w:hAnsi="宋体" w:cs="宋体"/>
          <w:color w:val="auto"/>
          <w:sz w:val="24"/>
        </w:rPr>
        <w:t>放弃参加政府采购活动或者放弃中标；</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en-US" w:eastAsia="zh-CN"/>
        </w:rPr>
        <w:t>供应商</w:t>
      </w:r>
      <w:r>
        <w:rPr>
          <w:rFonts w:hint="eastAsia" w:ascii="宋体" w:hAnsi="宋体" w:cs="宋体"/>
          <w:color w:val="auto"/>
          <w:sz w:val="24"/>
        </w:rPr>
        <w:t>与采购人或者采购代理机构之间、</w:t>
      </w:r>
      <w:r>
        <w:rPr>
          <w:rFonts w:hint="eastAsia" w:ascii="宋体" w:hAnsi="宋体" w:cs="宋体"/>
          <w:color w:val="auto"/>
          <w:sz w:val="24"/>
          <w:lang w:val="en-US" w:eastAsia="zh-CN"/>
        </w:rPr>
        <w:t>供应商</w:t>
      </w:r>
      <w:r>
        <w:rPr>
          <w:rFonts w:hint="eastAsia" w:ascii="宋体" w:hAnsi="宋体" w:cs="宋体"/>
          <w:color w:val="auto"/>
          <w:sz w:val="24"/>
        </w:rPr>
        <w:t>相互之间，为谋求特定</w:t>
      </w:r>
      <w:r>
        <w:rPr>
          <w:rFonts w:hint="eastAsia" w:ascii="宋体" w:hAnsi="宋体" w:cs="宋体"/>
          <w:color w:val="auto"/>
          <w:sz w:val="24"/>
          <w:lang w:val="en-US" w:eastAsia="zh-CN"/>
        </w:rPr>
        <w:t>供应商</w:t>
      </w:r>
      <w:r>
        <w:rPr>
          <w:rFonts w:hint="eastAsia" w:ascii="宋体" w:hAnsi="宋体" w:cs="宋体"/>
          <w:color w:val="auto"/>
          <w:sz w:val="24"/>
        </w:rPr>
        <w:t>中标或者排斥其他</w:t>
      </w:r>
      <w:r>
        <w:rPr>
          <w:rFonts w:hint="eastAsia" w:ascii="宋体" w:hAnsi="宋体" w:cs="宋体"/>
          <w:color w:val="auto"/>
          <w:sz w:val="24"/>
          <w:lang w:val="en-US" w:eastAsia="zh-CN"/>
        </w:rPr>
        <w:t>供应商</w:t>
      </w:r>
      <w:r>
        <w:rPr>
          <w:rFonts w:hint="eastAsia" w:ascii="宋体" w:hAnsi="宋体" w:cs="宋体"/>
          <w:color w:val="auto"/>
          <w:sz w:val="24"/>
        </w:rPr>
        <w:t>的其他串通行为。</w:t>
      </w:r>
    </w:p>
    <w:p>
      <w:pPr>
        <w:spacing w:line="360" w:lineRule="auto"/>
        <w:ind w:firstLine="472" w:firstLineChars="196"/>
        <w:contextualSpacing/>
        <w:jc w:val="left"/>
        <w:rPr>
          <w:rFonts w:hint="eastAsia" w:ascii="宋体" w:hAnsi="宋体" w:cs="宋体"/>
          <w:b/>
          <w:color w:val="auto"/>
          <w:sz w:val="24"/>
        </w:rPr>
      </w:pPr>
      <w:r>
        <w:rPr>
          <w:rFonts w:hint="eastAsia" w:ascii="宋体" w:hAnsi="宋体" w:cs="宋体"/>
          <w:b/>
          <w:color w:val="auto"/>
          <w:sz w:val="24"/>
        </w:rPr>
        <w:t>以上情形一经核查属实，我方愿意承担一切后果，并不再寻求任何旨在减轻或者免除法律责任的辩解。</w:t>
      </w:r>
    </w:p>
    <w:p>
      <w:pPr>
        <w:spacing w:line="360" w:lineRule="auto"/>
        <w:ind w:firstLine="6840" w:firstLineChars="2850"/>
        <w:contextualSpacing/>
        <w:rPr>
          <w:rFonts w:hint="eastAsia" w:ascii="宋体" w:hAnsi="宋体" w:cs="宋体"/>
          <w:color w:val="auto"/>
          <w:kern w:val="0"/>
          <w:sz w:val="24"/>
        </w:rPr>
      </w:pPr>
    </w:p>
    <w:p>
      <w:pPr>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sz w:val="24"/>
          <w:lang w:val="en-US" w:eastAsia="zh-CN"/>
        </w:rPr>
        <w:t>供应商</w:t>
      </w:r>
      <w:r>
        <w:rPr>
          <w:rFonts w:hint="eastAsia" w:ascii="宋体" w:hAnsi="宋体" w:cs="宋体"/>
          <w:color w:val="auto"/>
          <w:kern w:val="0"/>
          <w:sz w:val="24"/>
        </w:rPr>
        <w:t>名称（公章）：</w:t>
      </w:r>
    </w:p>
    <w:p>
      <w:pPr>
        <w:spacing w:line="360" w:lineRule="auto"/>
        <w:contextualSpacing/>
        <w:rPr>
          <w:rFonts w:hint="eastAsia" w:ascii="宋体" w:hAnsi="宋体" w:cs="宋体"/>
          <w:color w:val="auto"/>
          <w:kern w:val="0"/>
          <w:sz w:val="24"/>
          <w:szCs w:val="21"/>
        </w:rPr>
      </w:pPr>
      <w:r>
        <w:rPr>
          <w:rFonts w:hint="eastAsia" w:ascii="宋体" w:hAnsi="宋体" w:cs="宋体"/>
          <w:color w:val="auto"/>
          <w:kern w:val="0"/>
          <w:sz w:val="24"/>
          <w:szCs w:val="21"/>
        </w:rPr>
        <w:t xml:space="preserve">                                           </w:t>
      </w:r>
    </w:p>
    <w:p>
      <w:pPr>
        <w:spacing w:line="360" w:lineRule="auto"/>
        <w:ind w:firstLine="4440" w:firstLineChars="1850"/>
        <w:contextualSpacing/>
        <w:rPr>
          <w:rFonts w:hint="eastAsia" w:cs="仿宋_GB2312"/>
          <w:caps w:val="0"/>
          <w:color w:val="auto"/>
          <w:sz w:val="28"/>
          <w:szCs w:val="28"/>
          <w:highlight w:val="none"/>
          <w:lang w:val="en-US" w:eastAsia="zh-CN"/>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cs="仿宋_GB2312"/>
          <w:caps w:val="0"/>
          <w:color w:val="auto"/>
          <w:sz w:val="28"/>
          <w:szCs w:val="28"/>
          <w:highlight w:val="none"/>
          <w:lang w:val="en-US" w:eastAsia="zh-CN"/>
        </w:rPr>
        <w:br w:type="page"/>
      </w:r>
    </w:p>
    <w:p>
      <w:pPr>
        <w:pStyle w:val="12"/>
        <w:rPr>
          <w:rFonts w:hint="eastAsia"/>
          <w:color w:val="auto"/>
          <w:lang w:val="en-US" w:eastAsia="zh-CN"/>
        </w:rPr>
      </w:pPr>
    </w:p>
    <w:p>
      <w:pPr>
        <w:tabs>
          <w:tab w:val="left" w:pos="3055"/>
        </w:tabs>
        <w:jc w:val="center"/>
        <w:rPr>
          <w:b/>
          <w:color w:val="auto"/>
          <w:sz w:val="30"/>
          <w:szCs w:val="30"/>
        </w:rPr>
      </w:pPr>
      <w:r>
        <w:rPr>
          <w:rFonts w:hint="eastAsia" w:ascii="宋体" w:hAnsi="宋体" w:cs="Courier New"/>
          <w:b/>
          <w:bCs/>
          <w:color w:val="auto"/>
          <w:sz w:val="32"/>
          <w:szCs w:val="32"/>
          <w:lang w:eastAsia="zh-CN"/>
        </w:rPr>
        <w:t>第三章</w:t>
      </w:r>
      <w:r>
        <w:rPr>
          <w:rFonts w:hint="eastAsia" w:ascii="宋体" w:hAnsi="宋体" w:cs="Courier New"/>
          <w:b/>
          <w:bCs/>
          <w:color w:val="auto"/>
          <w:sz w:val="32"/>
          <w:szCs w:val="32"/>
          <w:lang w:val="en-US" w:eastAsia="zh-CN"/>
        </w:rPr>
        <w:t xml:space="preserve"> </w:t>
      </w:r>
      <w:r>
        <w:rPr>
          <w:rFonts w:hint="eastAsia" w:ascii="宋体" w:hAnsi="宋体" w:cs="Courier New"/>
          <w:b/>
          <w:bCs/>
          <w:color w:val="auto"/>
          <w:sz w:val="32"/>
          <w:szCs w:val="32"/>
        </w:rPr>
        <w:t>评</w:t>
      </w:r>
      <w:r>
        <w:rPr>
          <w:rFonts w:hint="eastAsia" w:ascii="宋体" w:hAnsi="宋体" w:cs="Courier New"/>
          <w:b/>
          <w:bCs/>
          <w:color w:val="auto"/>
          <w:sz w:val="32"/>
          <w:szCs w:val="32"/>
          <w:lang w:eastAsia="zh-CN"/>
        </w:rPr>
        <w:t>审</w:t>
      </w:r>
      <w:r>
        <w:rPr>
          <w:rFonts w:hint="eastAsia" w:ascii="宋体" w:hAnsi="宋体" w:cs="Courier New"/>
          <w:b/>
          <w:bCs/>
          <w:color w:val="auto"/>
          <w:sz w:val="32"/>
          <w:szCs w:val="32"/>
        </w:rPr>
        <w:t>方法及评</w:t>
      </w:r>
      <w:r>
        <w:rPr>
          <w:rFonts w:hint="eastAsia" w:ascii="宋体" w:hAnsi="宋体" w:cs="Courier New"/>
          <w:b/>
          <w:bCs/>
          <w:color w:val="auto"/>
          <w:sz w:val="32"/>
          <w:szCs w:val="32"/>
          <w:lang w:eastAsia="zh-CN"/>
        </w:rPr>
        <w:t>审</w:t>
      </w:r>
      <w:r>
        <w:rPr>
          <w:rFonts w:hint="eastAsia" w:ascii="宋体" w:hAnsi="宋体" w:cs="Courier New"/>
          <w:b/>
          <w:bCs/>
          <w:color w:val="auto"/>
          <w:sz w:val="32"/>
          <w:szCs w:val="32"/>
        </w:rPr>
        <w:t>标准</w:t>
      </w:r>
    </w:p>
    <w:p>
      <w:pPr>
        <w:spacing w:line="390" w:lineRule="exact"/>
        <w:ind w:right="-256" w:rightChars="-80" w:firstLine="482" w:firstLineChars="200"/>
        <w:rPr>
          <w:rFonts w:ascii="仿宋_GB2312" w:eastAsia="仿宋_GB2312"/>
          <w:b/>
          <w:bCs/>
          <w:color w:val="auto"/>
          <w:sz w:val="24"/>
        </w:rPr>
      </w:pPr>
      <w:r>
        <w:rPr>
          <w:rFonts w:hint="eastAsia" w:ascii="仿宋_GB2312" w:eastAsia="仿宋_GB2312"/>
          <w:b/>
          <w:bCs/>
          <w:color w:val="auto"/>
          <w:sz w:val="24"/>
        </w:rPr>
        <w:t>一、评</w:t>
      </w:r>
      <w:r>
        <w:rPr>
          <w:rFonts w:hint="eastAsia" w:ascii="仿宋_GB2312"/>
          <w:b/>
          <w:bCs/>
          <w:color w:val="auto"/>
          <w:sz w:val="24"/>
          <w:lang w:eastAsia="zh-CN"/>
        </w:rPr>
        <w:t>审</w:t>
      </w:r>
      <w:r>
        <w:rPr>
          <w:rFonts w:hint="eastAsia" w:ascii="仿宋_GB2312" w:eastAsia="仿宋_GB2312"/>
          <w:b/>
          <w:bCs/>
          <w:color w:val="auto"/>
          <w:sz w:val="24"/>
        </w:rPr>
        <w:t>原则</w:t>
      </w:r>
    </w:p>
    <w:p>
      <w:pPr>
        <w:spacing w:line="390" w:lineRule="exact"/>
        <w:ind w:right="-256" w:rightChars="-80"/>
        <w:rPr>
          <w:rFonts w:ascii="仿宋_GB2312" w:eastAsia="仿宋_GB2312"/>
          <w:color w:val="auto"/>
          <w:sz w:val="24"/>
        </w:rPr>
      </w:pPr>
      <w:r>
        <w:rPr>
          <w:rFonts w:hint="eastAsia" w:ascii="仿宋_GB2312" w:eastAsia="仿宋_GB2312"/>
          <w:color w:val="auto"/>
          <w:sz w:val="24"/>
        </w:rPr>
        <w:t xml:space="preserve">    （一）评审小组成员组成：本采购项目的评审小组由采购人统一安排，共三人以上的单数组成。</w:t>
      </w:r>
    </w:p>
    <w:p>
      <w:pPr>
        <w:spacing w:line="390" w:lineRule="exact"/>
        <w:ind w:right="-256" w:rightChars="-80" w:firstLine="435"/>
        <w:rPr>
          <w:rFonts w:hint="eastAsia" w:ascii="仿宋_GB2312" w:eastAsia="仿宋_GB2312"/>
          <w:b/>
          <w:color w:val="auto"/>
          <w:sz w:val="24"/>
        </w:rPr>
      </w:pPr>
      <w:r>
        <w:rPr>
          <w:rFonts w:hint="eastAsia" w:ascii="仿宋_GB2312" w:eastAsia="仿宋_GB2312"/>
          <w:b/>
          <w:color w:val="auto"/>
          <w:sz w:val="24"/>
        </w:rPr>
        <w:t>（二）评审依据：评审小组以采购文件和响应文件为依据，对参与供应商的价格、</w:t>
      </w:r>
      <w:r>
        <w:rPr>
          <w:rFonts w:hint="eastAsia" w:ascii="仿宋_GB2312"/>
          <w:b/>
          <w:color w:val="auto"/>
          <w:sz w:val="24"/>
          <w:lang w:eastAsia="zh-CN"/>
        </w:rPr>
        <w:t>技术性能</w:t>
      </w:r>
      <w:r>
        <w:rPr>
          <w:rFonts w:hint="eastAsia" w:ascii="仿宋_GB2312" w:eastAsia="仿宋_GB2312"/>
          <w:b/>
          <w:color w:val="auto"/>
          <w:sz w:val="24"/>
        </w:rPr>
        <w:t>、信誉等方面按百分制打分。</w:t>
      </w:r>
    </w:p>
    <w:p>
      <w:pPr>
        <w:spacing w:line="390" w:lineRule="exact"/>
        <w:ind w:right="-256" w:rightChars="-80" w:firstLine="435"/>
        <w:rPr>
          <w:rFonts w:hint="eastAsia" w:ascii="仿宋_GB2312" w:eastAsia="仿宋_GB2312"/>
          <w:b w:val="0"/>
          <w:bCs/>
          <w:color w:val="auto"/>
          <w:sz w:val="24"/>
        </w:rPr>
      </w:pPr>
      <w:r>
        <w:rPr>
          <w:rFonts w:hint="eastAsia" w:ascii="仿宋_GB2312" w:eastAsia="仿宋_GB2312"/>
          <w:b w:val="0"/>
          <w:bCs/>
          <w:color w:val="auto"/>
          <w:sz w:val="24"/>
        </w:rPr>
        <w:t>（三）评审方式：以封闭方式进行。</w:t>
      </w:r>
    </w:p>
    <w:p>
      <w:pPr>
        <w:spacing w:line="390" w:lineRule="exact"/>
        <w:ind w:right="-256" w:rightChars="-80" w:firstLine="435"/>
        <w:rPr>
          <w:rFonts w:ascii="仿宋_GB2312" w:eastAsia="仿宋_GB2312"/>
          <w:b w:val="0"/>
          <w:bCs/>
          <w:color w:val="auto"/>
          <w:sz w:val="24"/>
        </w:rPr>
      </w:pPr>
      <w:r>
        <w:rPr>
          <w:rFonts w:hint="eastAsia" w:ascii="仿宋_GB2312" w:eastAsia="仿宋_GB2312"/>
          <w:b w:val="0"/>
          <w:bCs/>
          <w:color w:val="auto"/>
          <w:sz w:val="24"/>
        </w:rPr>
        <w:t xml:space="preserve">（四）评审小组认为参与供应商的报价明显低于其他通过符合性审查供应商的报价，有可能影响产品质量或者不能诚信履约的，应当要求其在评审现场合理的时间内提供书面说明，必要时提交相关证明材料；参与供应商不能证明其报价合理性的，评审小组不推荐该供应商为成交候选供应商。    </w:t>
      </w:r>
    </w:p>
    <w:p>
      <w:pPr>
        <w:spacing w:line="390" w:lineRule="exact"/>
        <w:ind w:right="-256" w:rightChars="-80" w:firstLine="435"/>
        <w:rPr>
          <w:rFonts w:ascii="仿宋_GB2312" w:eastAsia="仿宋_GB2312"/>
          <w:b/>
          <w:bCs/>
          <w:color w:val="auto"/>
          <w:sz w:val="24"/>
        </w:rPr>
      </w:pPr>
      <w:r>
        <w:rPr>
          <w:rFonts w:hint="eastAsia" w:ascii="仿宋_GB2312" w:eastAsia="仿宋_GB2312"/>
          <w:b/>
          <w:bCs/>
          <w:color w:val="auto"/>
          <w:sz w:val="24"/>
        </w:rPr>
        <w:t>二、评</w:t>
      </w:r>
      <w:r>
        <w:rPr>
          <w:rFonts w:hint="eastAsia" w:ascii="仿宋_GB2312"/>
          <w:b/>
          <w:bCs/>
          <w:color w:val="auto"/>
          <w:sz w:val="24"/>
          <w:lang w:eastAsia="zh-CN"/>
        </w:rPr>
        <w:t>审</w:t>
      </w:r>
      <w:r>
        <w:rPr>
          <w:rFonts w:hint="eastAsia" w:ascii="仿宋_GB2312" w:eastAsia="仿宋_GB2312"/>
          <w:b/>
          <w:bCs/>
          <w:color w:val="auto"/>
          <w:sz w:val="24"/>
        </w:rPr>
        <w:t>方法</w:t>
      </w:r>
      <w:r>
        <w:rPr>
          <w:rFonts w:ascii="仿宋_GB2312" w:eastAsia="仿宋_GB2312"/>
          <w:b/>
          <w:bCs/>
          <w:color w:val="auto"/>
          <w:sz w:val="24"/>
        </w:rPr>
        <w:tab/>
      </w:r>
    </w:p>
    <w:p>
      <w:pPr>
        <w:spacing w:line="390" w:lineRule="exact"/>
        <w:ind w:right="-256" w:rightChars="-80" w:firstLine="435"/>
        <w:rPr>
          <w:rFonts w:ascii="仿宋_GB2312" w:eastAsia="仿宋_GB2312"/>
          <w:color w:val="auto"/>
          <w:sz w:val="24"/>
        </w:rPr>
      </w:pPr>
      <w:r>
        <w:rPr>
          <w:rFonts w:hint="eastAsia" w:ascii="仿宋_GB2312" w:eastAsia="仿宋_GB2312"/>
          <w:color w:val="auto"/>
          <w:sz w:val="24"/>
        </w:rPr>
        <w:t>（一）对进入详评的，采用百分制综合评分法。</w:t>
      </w:r>
    </w:p>
    <w:p>
      <w:pPr>
        <w:spacing w:line="400" w:lineRule="atLeast"/>
        <w:ind w:firstLine="480" w:firstLineChars="200"/>
        <w:jc w:val="left"/>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tbl>
      <w:tblPr>
        <w:tblStyle w:val="29"/>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spacing w:line="360" w:lineRule="exact"/>
              <w:jc w:val="center"/>
              <w:rPr>
                <w:rFonts w:hint="eastAsia" w:ascii="仿宋_GB2312" w:hAnsi="仿宋_GB2312" w:eastAsia="仿宋_GB2312" w:cs="仿宋_GB2312"/>
                <w:b/>
                <w:color w:val="auto"/>
              </w:rPr>
            </w:pPr>
            <w:r>
              <w:rPr>
                <w:rFonts w:hint="eastAsia" w:ascii="仿宋_GB2312" w:eastAsia="仿宋_GB2312"/>
                <w:b/>
                <w:color w:val="auto"/>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09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评审因素</w:t>
            </w:r>
          </w:p>
        </w:tc>
        <w:tc>
          <w:tcPr>
            <w:tcW w:w="5776"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1035"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分值</w:t>
            </w:r>
          </w:p>
        </w:tc>
        <w:tc>
          <w:tcPr>
            <w:tcW w:w="156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w:t>
            </w:r>
            <w:r>
              <w:rPr>
                <w:rFonts w:hint="eastAsia" w:ascii="仿宋_GB2312" w:hAnsi="仿宋_GB2312" w:cs="仿宋_GB2312"/>
                <w:b/>
                <w:color w:val="auto"/>
                <w:sz w:val="21"/>
                <w:szCs w:val="21"/>
                <w:lang w:eastAsia="zh-CN"/>
              </w:rPr>
              <w:t>响应</w:t>
            </w:r>
            <w:r>
              <w:rPr>
                <w:rFonts w:hint="eastAsia" w:ascii="仿宋_GB2312" w:hAnsi="仿宋_GB2312" w:eastAsia="仿宋_GB2312" w:cs="仿宋_GB2312"/>
                <w:b/>
                <w:color w:val="auto"/>
                <w:sz w:val="21"/>
                <w:szCs w:val="21"/>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849"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价格分</w:t>
            </w:r>
          </w:p>
        </w:tc>
        <w:tc>
          <w:tcPr>
            <w:tcW w:w="109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w:t>
            </w:r>
          </w:p>
        </w:tc>
        <w:tc>
          <w:tcPr>
            <w:tcW w:w="5776" w:type="dxa"/>
            <w:vAlign w:val="center"/>
          </w:tcPr>
          <w:p>
            <w:pPr>
              <w:spacing w:line="44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1.满足</w:t>
            </w:r>
            <w:r>
              <w:rPr>
                <w:rFonts w:hint="eastAsia" w:ascii="仿宋_GB2312"/>
                <w:b w:val="0"/>
                <w:bCs w:val="0"/>
                <w:color w:val="auto"/>
                <w:sz w:val="22"/>
                <w:szCs w:val="22"/>
                <w:lang w:eastAsia="zh-CN"/>
              </w:rPr>
              <w:t>采购</w:t>
            </w:r>
            <w:r>
              <w:rPr>
                <w:rFonts w:hint="eastAsia" w:ascii="仿宋_GB2312" w:hAnsi="仿宋_GB2312" w:eastAsia="仿宋_GB2312" w:cs="仿宋_GB2312"/>
                <w:color w:val="auto"/>
                <w:sz w:val="21"/>
                <w:szCs w:val="21"/>
              </w:rPr>
              <w:t>文件要求且</w:t>
            </w:r>
            <w:r>
              <w:rPr>
                <w:rFonts w:hint="eastAsia" w:ascii="仿宋_GB2312" w:hAnsi="仿宋_GB2312" w:cs="仿宋_GB2312"/>
                <w:color w:val="auto"/>
                <w:sz w:val="21"/>
                <w:szCs w:val="21"/>
                <w:lang w:eastAsia="zh-CN"/>
              </w:rPr>
              <w:t>报价</w:t>
            </w:r>
            <w:r>
              <w:rPr>
                <w:rFonts w:hint="eastAsia" w:ascii="仿宋_GB2312" w:hAnsi="仿宋_GB2312" w:eastAsia="仿宋_GB2312" w:cs="仿宋_GB2312"/>
                <w:color w:val="auto"/>
                <w:sz w:val="21"/>
                <w:szCs w:val="21"/>
              </w:rPr>
              <w:t>最低的</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报价为评标基准价，其</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的报价分为最高分30分；</w:t>
            </w:r>
          </w:p>
          <w:p>
            <w:pPr>
              <w:spacing w:line="44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2.其他</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的报价得分按以下公式计算：</w:t>
            </w:r>
          </w:p>
          <w:p>
            <w:pPr>
              <w:pStyle w:val="12"/>
              <w:ind w:left="0" w:leftChars="0" w:firstLine="0" w:firstLineChars="0"/>
              <w:rPr>
                <w:rFonts w:hint="eastAsia"/>
                <w:color w:val="auto"/>
              </w:rPr>
            </w:pPr>
            <w:r>
              <w:rPr>
                <w:rFonts w:hint="eastAsia" w:ascii="仿宋_GB2312" w:hAnsi="仿宋_GB2312" w:eastAsia="仿宋_GB2312" w:cs="仿宋_GB2312"/>
                <w:color w:val="auto"/>
                <w:sz w:val="21"/>
                <w:szCs w:val="21"/>
              </w:rPr>
              <w:t>报价得分=（评标基准价／某</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报价）*30分；</w:t>
            </w:r>
          </w:p>
        </w:tc>
        <w:tc>
          <w:tcPr>
            <w:tcW w:w="1035" w:type="dxa"/>
            <w:vAlign w:val="center"/>
          </w:tcPr>
          <w:p>
            <w:pPr>
              <w:spacing w:line="360" w:lineRule="exact"/>
              <w:jc w:val="center"/>
              <w:rPr>
                <w:rFonts w:hint="eastAsia" w:ascii="仿宋_GB2312" w:hAnsi="仿宋_GB2312" w:cs="仿宋_GB2312"/>
                <w:b/>
                <w:color w:val="auto"/>
                <w:sz w:val="21"/>
                <w:szCs w:val="21"/>
              </w:rPr>
            </w:pPr>
            <w:r>
              <w:rPr>
                <w:rFonts w:ascii="仿宋_GB2312" w:hAnsi="仿宋_GB2312" w:eastAsia="仿宋_GB2312" w:cs="仿宋_GB2312"/>
                <w:b/>
                <w:bCs/>
                <w:color w:val="auto"/>
                <w:sz w:val="21"/>
                <w:szCs w:val="21"/>
              </w:rPr>
              <w:t>30</w:t>
            </w:r>
          </w:p>
        </w:tc>
        <w:tc>
          <w:tcPr>
            <w:tcW w:w="1560" w:type="dxa"/>
            <w:vAlign w:val="center"/>
          </w:tcPr>
          <w:p>
            <w:pPr>
              <w:spacing w:line="360" w:lineRule="exact"/>
              <w:jc w:val="center"/>
              <w:rPr>
                <w:rFonts w:hint="eastAsia" w:ascii="仿宋_GB2312" w:hAnsi="仿宋_GB2312" w:eastAsia="仿宋_GB2312" w:cs="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849"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信誉分</w:t>
            </w:r>
          </w:p>
        </w:tc>
        <w:tc>
          <w:tcPr>
            <w:tcW w:w="109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体系认证</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rPr>
            </w:pPr>
            <w:r>
              <w:rPr>
                <w:rFonts w:ascii="仿宋_GB2312" w:hAnsi="仿宋_GB2312" w:eastAsia="仿宋_GB2312" w:cs="仿宋_GB2312"/>
                <w:color w:val="auto"/>
                <w:sz w:val="21"/>
                <w:szCs w:val="21"/>
              </w:rPr>
              <w:t>1.</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或所投产品生产厂商具备有效的质量管理体系认证证书得1分，满分1分；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2</w:t>
            </w:r>
            <w:r>
              <w:rPr>
                <w:rFonts w:ascii="仿宋_GB2312" w:hAnsi="仿宋_GB2312" w:eastAsia="仿宋_GB2312" w:cs="仿宋_GB2312"/>
                <w:color w:val="auto"/>
                <w:sz w:val="21"/>
                <w:szCs w:val="21"/>
              </w:rPr>
              <w:t>.</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或所投产品生产厂商具备有效的职业健康安全管理体系认证证书得1分，满分1分</w:t>
            </w:r>
            <w:r>
              <w:rPr>
                <w:rFonts w:hint="eastAsia" w:ascii="仿宋_GB2312" w:hAnsi="仿宋_GB2312" w:eastAsia="仿宋_GB2312" w:cs="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3</w:t>
            </w:r>
            <w:r>
              <w:rPr>
                <w:rFonts w:ascii="仿宋_GB2312" w:hAnsi="仿宋_GB2312" w:eastAsia="仿宋_GB2312" w:cs="仿宋_GB2312"/>
                <w:color w:val="auto"/>
                <w:sz w:val="21"/>
                <w:szCs w:val="21"/>
              </w:rPr>
              <w:t>.</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或所投产品生产厂商具备有效的环境管理体系认证证书得1分，满分1分</w:t>
            </w:r>
            <w:r>
              <w:rPr>
                <w:rFonts w:hint="eastAsia" w:ascii="仿宋_GB2312" w:hAnsi="仿宋_GB2312" w:eastAsia="仿宋_GB2312" w:cs="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注：供应商提供证书材料并加盖供应商</w:t>
            </w:r>
            <w:r>
              <w:rPr>
                <w:rFonts w:ascii="仿宋_GB2312" w:hAnsi="仿宋_GB2312" w:eastAsia="仿宋_GB2312" w:cs="仿宋_GB2312"/>
                <w:b/>
                <w:color w:val="auto"/>
                <w:sz w:val="21"/>
                <w:szCs w:val="21"/>
              </w:rPr>
              <w:t>CA电子签章</w:t>
            </w:r>
            <w:r>
              <w:rPr>
                <w:rFonts w:hint="eastAsia" w:ascii="仿宋_GB2312" w:hAnsi="仿宋_GB2312" w:eastAsia="仿宋_GB2312" w:cs="仿宋_GB2312"/>
                <w:b/>
                <w:color w:val="auto"/>
                <w:sz w:val="21"/>
                <w:szCs w:val="21"/>
              </w:rPr>
              <w:t>，否则不予计分。</w:t>
            </w:r>
          </w:p>
        </w:tc>
        <w:tc>
          <w:tcPr>
            <w:tcW w:w="1035" w:type="dxa"/>
            <w:vAlign w:val="center"/>
          </w:tcPr>
          <w:p>
            <w:pPr>
              <w:spacing w:line="360" w:lineRule="exact"/>
              <w:jc w:val="center"/>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val="en-US" w:eastAsia="zh-CN"/>
              </w:rPr>
              <w:t>3</w:t>
            </w:r>
          </w:p>
        </w:tc>
        <w:tc>
          <w:tcPr>
            <w:tcW w:w="1560"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spacing w:line="360" w:lineRule="exact"/>
              <w:jc w:val="center"/>
              <w:rPr>
                <w:rFonts w:hint="eastAsia" w:ascii="仿宋_GB2312" w:hAnsi="仿宋_GB2312" w:eastAsia="仿宋_GB2312" w:cs="仿宋_GB2312"/>
                <w:b/>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b/>
                <w:bCs/>
                <w:color w:val="auto"/>
                <w:sz w:val="21"/>
                <w:szCs w:val="21"/>
              </w:rPr>
              <w:t>政策功能分</w:t>
            </w:r>
          </w:p>
        </w:tc>
        <w:tc>
          <w:tcPr>
            <w:tcW w:w="1090" w:type="dxa"/>
            <w:vAlign w:val="center"/>
          </w:tcPr>
          <w:p>
            <w:pPr>
              <w:widowControl/>
              <w:spacing w:line="360" w:lineRule="exact"/>
              <w:jc w:val="center"/>
              <w:rPr>
                <w:rFonts w:hint="eastAsia" w:ascii="仿宋_GB2312" w:hAnsi="仿宋_GB2312" w:eastAsia="仿宋_GB2312" w:cs="仿宋_GB2312"/>
                <w:b/>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b/>
                <w:color w:val="auto"/>
                <w:sz w:val="21"/>
                <w:szCs w:val="21"/>
              </w:rPr>
              <w:t>政策功能</w:t>
            </w:r>
          </w:p>
        </w:tc>
        <w:tc>
          <w:tcPr>
            <w:tcW w:w="5776" w:type="dxa"/>
            <w:vAlign w:val="center"/>
          </w:tcPr>
          <w:p>
            <w:pPr>
              <w:spacing w:line="400" w:lineRule="exact"/>
              <w:ind w:firstLine="420" w:firstLineChars="200"/>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tc>
        <w:tc>
          <w:tcPr>
            <w:tcW w:w="1035" w:type="dxa"/>
            <w:vAlign w:val="center"/>
          </w:tcPr>
          <w:p>
            <w:pPr>
              <w:spacing w:line="360" w:lineRule="exact"/>
              <w:jc w:val="center"/>
              <w:rPr>
                <w:rFonts w:hint="eastAsia" w:ascii="仿宋_GB2312" w:hAnsi="仿宋_GB2312" w:eastAsia="仿宋_GB2312" w:cs="仿宋_GB2312"/>
                <w:b/>
                <w:bCs/>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b/>
                <w:bCs/>
                <w:color w:val="auto"/>
                <w:sz w:val="21"/>
                <w:szCs w:val="21"/>
                <w:lang w:val="en-US" w:eastAsia="zh-CN"/>
              </w:rPr>
              <w:t>1</w:t>
            </w:r>
          </w:p>
        </w:tc>
        <w:tc>
          <w:tcPr>
            <w:tcW w:w="1560" w:type="dxa"/>
            <w:vAlign w:val="center"/>
          </w:tcPr>
          <w:p>
            <w:pPr>
              <w:spacing w:line="360" w:lineRule="exact"/>
              <w:jc w:val="center"/>
              <w:rPr>
                <w:rFonts w:hint="eastAsia" w:ascii="仿宋_GB2312" w:hAnsi="仿宋_GB2312" w:eastAsia="仿宋_GB2312" w:cs="仿宋_GB2312"/>
                <w:b/>
                <w:bCs/>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9"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技术性能分</w:t>
            </w:r>
          </w:p>
        </w:tc>
        <w:tc>
          <w:tcPr>
            <w:tcW w:w="1090"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重要指标</w:t>
            </w:r>
          </w:p>
        </w:tc>
        <w:tc>
          <w:tcPr>
            <w:tcW w:w="5776" w:type="dxa"/>
            <w:vAlign w:val="center"/>
          </w:tcPr>
          <w:p>
            <w:pPr>
              <w:widowControl/>
              <w:spacing w:line="460" w:lineRule="exact"/>
              <w:ind w:firstLine="420" w:firstLineChars="200"/>
              <w:rPr>
                <w:rFonts w:hint="eastAsia" w:ascii="仿宋" w:hAnsi="仿宋" w:eastAsia="仿宋" w:cs="仿宋_GB2312"/>
                <w:color w:val="auto"/>
                <w:sz w:val="21"/>
                <w:szCs w:val="21"/>
              </w:rPr>
            </w:pPr>
            <w:r>
              <w:rPr>
                <w:rFonts w:hint="eastAsia" w:ascii="仿宋" w:hAnsi="仿宋" w:eastAsia="仿宋" w:cs="仿宋_GB2312"/>
                <w:color w:val="auto"/>
                <w:sz w:val="21"/>
                <w:szCs w:val="21"/>
              </w:rPr>
              <w:t>所投产品</w:t>
            </w:r>
            <w:r>
              <w:rPr>
                <w:rFonts w:hint="eastAsia" w:ascii="仿宋" w:hAnsi="仿宋" w:eastAsia="仿宋" w:cs="仿宋_GB2312"/>
                <w:color w:val="auto"/>
                <w:sz w:val="21"/>
                <w:szCs w:val="21"/>
                <w:lang w:eastAsia="zh-CN"/>
              </w:rPr>
              <w:t>可</w:t>
            </w:r>
            <w:r>
              <w:rPr>
                <w:rFonts w:hint="eastAsia" w:ascii="仿宋" w:hAnsi="仿宋" w:eastAsia="仿宋" w:cs="仿宋_GB2312"/>
                <w:color w:val="auto"/>
                <w:sz w:val="21"/>
                <w:szCs w:val="21"/>
              </w:rPr>
              <w:t>提供国家认可检测机构出具</w:t>
            </w:r>
            <w:r>
              <w:rPr>
                <w:rFonts w:hint="eastAsia" w:ascii="仿宋" w:hAnsi="仿宋" w:eastAsia="仿宋" w:cs="仿宋_GB2312"/>
                <w:color w:val="auto"/>
                <w:sz w:val="21"/>
                <w:szCs w:val="21"/>
                <w:lang w:eastAsia="zh-CN"/>
              </w:rPr>
              <w:t>的</w:t>
            </w:r>
            <w:r>
              <w:rPr>
                <w:rFonts w:hint="eastAsia" w:ascii="仿宋" w:hAnsi="仿宋" w:eastAsia="仿宋" w:cs="仿宋_GB2312"/>
                <w:color w:val="auto"/>
                <w:sz w:val="21"/>
                <w:szCs w:val="21"/>
              </w:rPr>
              <w:t>带有CMA标识的检测（检验）报告作为佐证材料并加盖投标人CA电子签章：①中密度纤维板；刨花板；②皮革（真皮）；③海绵；④胶粘剂（白乳胶）</w:t>
            </w:r>
            <w:r>
              <w:rPr>
                <w:rFonts w:hint="eastAsia" w:ascii="仿宋" w:hAnsi="仿宋" w:eastAsia="仿宋" w:cs="仿宋_GB2312"/>
                <w:color w:val="auto"/>
                <w:sz w:val="21"/>
                <w:szCs w:val="21"/>
                <w:lang w:eastAsia="zh-CN"/>
              </w:rPr>
              <w:t>；</w:t>
            </w:r>
            <w:r>
              <w:rPr>
                <w:rFonts w:hint="eastAsia" w:ascii="仿宋" w:hAnsi="仿宋" w:eastAsia="仿宋" w:cs="仿宋_GB2312"/>
                <w:color w:val="auto"/>
                <w:sz w:val="21"/>
                <w:szCs w:val="21"/>
              </w:rPr>
              <w:t>⑤面漆；⑥底漆；⑦三合一连接件。每有一项提供证明材料的得</w:t>
            </w:r>
            <w:r>
              <w:rPr>
                <w:rFonts w:hint="eastAsia" w:ascii="仿宋" w:hAnsi="仿宋" w:eastAsia="仿宋" w:cs="仿宋_GB2312"/>
                <w:color w:val="auto"/>
                <w:sz w:val="21"/>
                <w:szCs w:val="21"/>
                <w:lang w:val="en-US" w:eastAsia="zh-CN"/>
              </w:rPr>
              <w:t>4</w:t>
            </w:r>
            <w:r>
              <w:rPr>
                <w:rFonts w:hint="eastAsia" w:ascii="仿宋" w:hAnsi="仿宋" w:eastAsia="仿宋" w:cs="仿宋_GB2312"/>
                <w:color w:val="auto"/>
                <w:sz w:val="21"/>
                <w:szCs w:val="21"/>
              </w:rPr>
              <w:t>分，满分为</w:t>
            </w:r>
            <w:r>
              <w:rPr>
                <w:rFonts w:hint="eastAsia" w:ascii="仿宋" w:hAnsi="仿宋" w:eastAsia="仿宋" w:cs="仿宋_GB2312"/>
                <w:color w:val="auto"/>
                <w:sz w:val="21"/>
                <w:szCs w:val="21"/>
                <w:lang w:val="en-US" w:eastAsia="zh-CN"/>
              </w:rPr>
              <w:t>28</w:t>
            </w:r>
            <w:r>
              <w:rPr>
                <w:rFonts w:hint="eastAsia" w:ascii="仿宋" w:hAnsi="仿宋" w:eastAsia="仿宋" w:cs="仿宋_GB2312"/>
                <w:color w:val="auto"/>
                <w:sz w:val="21"/>
                <w:szCs w:val="21"/>
              </w:rPr>
              <w:t>分。</w:t>
            </w:r>
          </w:p>
          <w:p>
            <w:pPr>
              <w:widowControl/>
              <w:spacing w:line="460" w:lineRule="exact"/>
              <w:ind w:firstLine="422" w:firstLineChars="200"/>
              <w:rPr>
                <w:rFonts w:hint="eastAsia" w:ascii="仿宋" w:hAnsi="仿宋" w:eastAsia="仿宋" w:cs="仿宋_GB2312"/>
                <w:color w:val="auto"/>
                <w:sz w:val="21"/>
                <w:szCs w:val="21"/>
              </w:rPr>
            </w:pPr>
            <w:r>
              <w:rPr>
                <w:rFonts w:hint="eastAsia" w:ascii="仿宋" w:hAnsi="仿宋" w:eastAsia="仿宋" w:cs="仿宋_GB2312"/>
                <w:b/>
                <w:bCs/>
                <w:color w:val="auto"/>
                <w:sz w:val="21"/>
                <w:szCs w:val="21"/>
              </w:rPr>
              <w:t>注：1.须提供2022年以来受检单位是投标人或所投产品生产厂商且带有CMA标识的检测（检验）报告作为佐证材料并加盖投标人CA电子签章，如未提供检测（检验）报告或检测（检验）报告内容有缺项、漏项内容、无优于的，对应项不予计分。</w:t>
            </w:r>
          </w:p>
        </w:tc>
        <w:tc>
          <w:tcPr>
            <w:tcW w:w="1035" w:type="dxa"/>
            <w:vAlign w:val="center"/>
          </w:tcPr>
          <w:p>
            <w:pPr>
              <w:spacing w:line="360" w:lineRule="auto"/>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cs="仿宋_GB2312"/>
                <w:b/>
                <w:bCs/>
                <w:color w:val="auto"/>
                <w:sz w:val="21"/>
                <w:szCs w:val="21"/>
                <w:lang w:val="en-US" w:eastAsia="zh-CN"/>
              </w:rPr>
              <w:t>28</w:t>
            </w:r>
          </w:p>
        </w:tc>
        <w:tc>
          <w:tcPr>
            <w:tcW w:w="1560" w:type="dxa"/>
            <w:vAlign w:val="center"/>
          </w:tcPr>
          <w:p>
            <w:pPr>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9"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质量保证期分</w:t>
            </w:r>
          </w:p>
        </w:tc>
        <w:tc>
          <w:tcPr>
            <w:tcW w:w="1090"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质量保证期</w:t>
            </w:r>
          </w:p>
        </w:tc>
        <w:tc>
          <w:tcPr>
            <w:tcW w:w="5776" w:type="dxa"/>
            <w:vAlign w:val="center"/>
          </w:tcPr>
          <w:p>
            <w:pPr>
              <w:spacing w:line="420" w:lineRule="exact"/>
              <w:ind w:firstLine="420"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承诺质量保证期在商务要求基础上延长，每延长半年得0.5分，满分</w:t>
            </w:r>
            <w:r>
              <w:rPr>
                <w:rFonts w:hint="eastAsia" w:ascii="仿宋_GB2312" w:hAnsi="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p>
        </w:tc>
        <w:tc>
          <w:tcPr>
            <w:tcW w:w="1035" w:type="dxa"/>
            <w:vAlign w:val="center"/>
          </w:tcPr>
          <w:p>
            <w:pPr>
              <w:spacing w:line="360" w:lineRule="exact"/>
              <w:jc w:val="center"/>
              <w:rPr>
                <w:rFonts w:hint="eastAsia" w:ascii="仿宋_GB2312" w:hAnsi="仿宋_GB2312" w:eastAsia="仿宋_GB2312" w:cs="仿宋_GB2312"/>
                <w:b/>
                <w:bCs/>
                <w:color w:val="auto"/>
                <w:sz w:val="21"/>
                <w:szCs w:val="21"/>
                <w:lang w:val="en" w:eastAsia="zh-CN"/>
              </w:rPr>
            </w:pPr>
            <w:r>
              <w:rPr>
                <w:rFonts w:hint="eastAsia" w:ascii="仿宋_GB2312" w:hAnsi="仿宋_GB2312" w:cs="仿宋_GB2312"/>
                <w:b/>
                <w:bCs/>
                <w:color w:val="auto"/>
                <w:sz w:val="21"/>
                <w:szCs w:val="21"/>
                <w:lang w:val="en-US" w:eastAsia="zh-CN"/>
              </w:rPr>
              <w:t>1</w:t>
            </w:r>
          </w:p>
        </w:tc>
        <w:tc>
          <w:tcPr>
            <w:tcW w:w="1560"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30"/>
              <w:tabs>
                <w:tab w:val="left" w:pos="312"/>
              </w:tabs>
              <w:spacing w:line="400" w:lineRule="exact"/>
              <w:ind w:firstLine="422" w:firstLineChars="200"/>
              <w:jc w:val="center"/>
              <w:rPr>
                <w:rFonts w:hint="eastAsia" w:ascii="仿宋_GB2312" w:hAnsi="仿宋_GB2312" w:eastAsia="仿宋_GB2312" w:cs="仿宋_GB2312"/>
                <w:color w:val="auto"/>
                <w:sz w:val="21"/>
                <w:szCs w:val="21"/>
              </w:rPr>
            </w:pPr>
            <w:r>
              <w:rPr>
                <w:rFonts w:hint="eastAsia" w:ascii="仿宋_GB2312" w:hAnsi="宋体" w:eastAsia="仿宋_GB2312"/>
                <w:b/>
                <w:bCs/>
                <w:color w:val="auto"/>
                <w:sz w:val="21"/>
                <w:szCs w:val="21"/>
              </w:rPr>
              <w:t>客观分总分</w:t>
            </w:r>
          </w:p>
        </w:tc>
        <w:tc>
          <w:tcPr>
            <w:tcW w:w="1035" w:type="dxa"/>
            <w:vAlign w:val="center"/>
          </w:tcPr>
          <w:p>
            <w:pPr>
              <w:spacing w:line="360" w:lineRule="exact"/>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cs="仿宋_GB2312"/>
                <w:b/>
                <w:bCs/>
                <w:color w:val="auto"/>
                <w:sz w:val="21"/>
                <w:szCs w:val="21"/>
                <w:lang w:val="en-US" w:eastAsia="zh-CN"/>
              </w:rPr>
              <w:t>63</w:t>
            </w:r>
          </w:p>
        </w:tc>
        <w:tc>
          <w:tcPr>
            <w:tcW w:w="1560" w:type="dxa"/>
            <w:vAlign w:val="center"/>
          </w:tcPr>
          <w:p>
            <w:pPr>
              <w:spacing w:line="360" w:lineRule="exact"/>
              <w:jc w:val="center"/>
              <w:rPr>
                <w:rFonts w:hint="eastAsia" w:ascii="仿宋_GB2312" w:hAnsi="仿宋_GB2312" w:eastAsia="仿宋_GB2312" w:cs="仿宋_GB2312"/>
                <w:color w:val="auto"/>
                <w:sz w:val="21"/>
                <w:szCs w:val="21"/>
              </w:rPr>
            </w:pPr>
          </w:p>
        </w:tc>
      </w:tr>
    </w:tbl>
    <w:p>
      <w:pPr>
        <w:pStyle w:val="12"/>
        <w:ind w:left="0" w:leftChars="0" w:firstLine="0" w:firstLineChars="0"/>
        <w:rPr>
          <w:rFonts w:hint="eastAsia"/>
          <w:color w:val="auto"/>
          <w:sz w:val="21"/>
          <w:szCs w:val="21"/>
        </w:rPr>
      </w:pPr>
    </w:p>
    <w:p>
      <w:pPr>
        <w:pStyle w:val="12"/>
        <w:ind w:left="0" w:leftChars="0" w:firstLine="0" w:firstLineChars="0"/>
        <w:rPr>
          <w:rFonts w:hint="eastAsia"/>
          <w:color w:val="auto"/>
          <w:sz w:val="21"/>
          <w:szCs w:val="21"/>
        </w:rPr>
      </w:pPr>
    </w:p>
    <w:p>
      <w:pPr>
        <w:pStyle w:val="12"/>
        <w:ind w:left="0" w:leftChars="0" w:firstLine="0" w:firstLineChars="0"/>
        <w:rPr>
          <w:rFonts w:hint="eastAsia"/>
          <w:color w:val="auto"/>
          <w:sz w:val="21"/>
          <w:szCs w:val="21"/>
        </w:rPr>
      </w:pPr>
    </w:p>
    <w:tbl>
      <w:tblPr>
        <w:tblStyle w:val="29"/>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eastAsia="仿宋_GB2312"/>
                <w:b/>
                <w:color w:val="auto"/>
                <w:sz w:val="21"/>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09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评审因素</w:t>
            </w:r>
          </w:p>
        </w:tc>
        <w:tc>
          <w:tcPr>
            <w:tcW w:w="5859" w:type="dxa"/>
            <w:vAlign w:val="center"/>
          </w:tcPr>
          <w:p>
            <w:pPr>
              <w:spacing w:line="34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967"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分值</w:t>
            </w:r>
          </w:p>
        </w:tc>
        <w:tc>
          <w:tcPr>
            <w:tcW w:w="155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w:t>
            </w:r>
            <w:r>
              <w:rPr>
                <w:rFonts w:hint="eastAsia" w:ascii="仿宋_GB2312" w:hAnsi="仿宋_GB2312" w:cs="仿宋_GB2312"/>
                <w:b/>
                <w:color w:val="auto"/>
                <w:sz w:val="21"/>
                <w:szCs w:val="21"/>
                <w:lang w:eastAsia="zh-CN"/>
              </w:rPr>
              <w:t>响应</w:t>
            </w:r>
            <w:r>
              <w:rPr>
                <w:rFonts w:hint="eastAsia" w:ascii="仿宋_GB2312" w:hAnsi="仿宋_GB2312" w:eastAsia="仿宋_GB2312" w:cs="仿宋_GB2312"/>
                <w:b/>
                <w:color w:val="auto"/>
                <w:sz w:val="21"/>
                <w:szCs w:val="21"/>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5" w:hRule="atLeast"/>
        </w:trPr>
        <w:tc>
          <w:tcPr>
            <w:tcW w:w="849" w:type="dxa"/>
            <w:vMerge w:val="restart"/>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项目实施方案分</w:t>
            </w:r>
          </w:p>
        </w:tc>
        <w:tc>
          <w:tcPr>
            <w:tcW w:w="1090" w:type="dxa"/>
            <w:vAlign w:val="center"/>
          </w:tcPr>
          <w:p>
            <w:pPr>
              <w:spacing w:line="360" w:lineRule="exact"/>
              <w:jc w:val="center"/>
              <w:rPr>
                <w:rFonts w:hint="eastAsia" w:ascii="仿宋_GB2312" w:hAnsi="仿宋_GB2312" w:eastAsia="仿宋_GB2312" w:cs="仿宋_GB2312"/>
                <w:b/>
                <w:bCs/>
                <w:color w:val="auto"/>
                <w:sz w:val="21"/>
                <w:szCs w:val="21"/>
              </w:rPr>
            </w:pPr>
          </w:p>
          <w:p>
            <w:pPr>
              <w:widowControl/>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bidi="ar"/>
              </w:rPr>
              <w:t>项目实施方案</w:t>
            </w:r>
          </w:p>
        </w:tc>
        <w:tc>
          <w:tcPr>
            <w:tcW w:w="5859" w:type="dxa"/>
            <w:vAlign w:val="center"/>
          </w:tcPr>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w:t>
            </w:r>
            <w:r>
              <w:rPr>
                <w:rFonts w:hint="eastAsia" w:ascii="仿宋_GB2312" w:hAnsi="仿宋_GB2312" w:cs="仿宋_GB2312"/>
                <w:b/>
                <w:bCs/>
                <w:color w:val="auto"/>
                <w:sz w:val="21"/>
                <w:szCs w:val="21"/>
                <w:lang w:val="en-US" w:eastAsia="zh-CN"/>
              </w:rPr>
              <w:t>8</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优于二档，项目实施方案完整可行，配套有货物存放仓库、项目实施的技术力量和人力资源安排充足且提供有真实可靠保证，具备突发计划外供货需求的应对能力，大件家具需要紧急搬运重组需求的应对能力，承诺紧急服务时限，提供具体详细的进度计划实施控制保证方案，安装、调试、验收方法或方案切实可行且针对性强。</w:t>
            </w:r>
          </w:p>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二档（5分）</w:t>
            </w:r>
            <w:r>
              <w:rPr>
                <w:rFonts w:hint="eastAsia" w:ascii="仿宋_GB2312" w:hAnsi="仿宋_GB2312" w:eastAsia="仿宋_GB2312" w:cs="仿宋_GB2312"/>
                <w:color w:val="auto"/>
                <w:sz w:val="21"/>
                <w:szCs w:val="21"/>
              </w:rPr>
              <w:t>：优于三档，项目实施方案较详细，有项目实施过程中的风险应对措施，应急预案，项目实施人员安排合理，配送方案合理，有较详细的安装和安全保证措施方案；</w:t>
            </w:r>
          </w:p>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三档（2分）</w:t>
            </w:r>
            <w:r>
              <w:rPr>
                <w:rFonts w:hint="eastAsia" w:ascii="仿宋_GB2312" w:hAnsi="仿宋_GB2312" w:eastAsia="仿宋_GB2312" w:cs="仿宋_GB2312"/>
                <w:color w:val="auto"/>
                <w:sz w:val="21"/>
                <w:szCs w:val="21"/>
              </w:rPr>
              <w:t>：项目实施进度安排合理，送货人员、运输工具、供货组织能力基本能满足本项目需求，安装调试验收方案内容基本可行。</w:t>
            </w:r>
          </w:p>
          <w:p>
            <w:pPr>
              <w:spacing w:line="40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注：1.该方案内容可以包括：（1）供货组织；（2）进度保障；（3）送货人员；（4）配送方案；(5)安装调试验收方案等内容。</w:t>
            </w:r>
          </w:p>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2.未提供以上方案或提供的内容与本项目无关的得0分。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color w:val="auto"/>
                <w:sz w:val="21"/>
                <w:szCs w:val="21"/>
                <w:lang w:eastAsia="zh-CN"/>
              </w:rPr>
            </w:pPr>
            <w:r>
              <w:rPr>
                <w:rFonts w:hint="eastAsia" w:ascii="仿宋_GB2312" w:hAnsi="仿宋_GB2312" w:cs="仿宋_GB2312"/>
                <w:b/>
                <w:bCs/>
                <w:color w:val="auto"/>
                <w:sz w:val="21"/>
                <w:szCs w:val="21"/>
                <w:lang w:val="en-US" w:eastAsia="zh-CN"/>
              </w:rPr>
              <w:t>8</w:t>
            </w:r>
          </w:p>
        </w:tc>
        <w:tc>
          <w:tcPr>
            <w:tcW w:w="1550"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hint="eastAsia" w:ascii="仿宋_GB2312" w:hAnsi="仿宋_GB2312" w:eastAsia="仿宋_GB2312" w:cs="仿宋_GB2312"/>
                <w:color w:val="auto"/>
                <w:sz w:val="21"/>
                <w:szCs w:val="21"/>
              </w:rPr>
            </w:pPr>
          </w:p>
        </w:tc>
        <w:tc>
          <w:tcPr>
            <w:tcW w:w="1090" w:type="dxa"/>
            <w:vAlign w:val="center"/>
          </w:tcPr>
          <w:p>
            <w:pPr>
              <w:widowControl/>
              <w:spacing w:line="360" w:lineRule="exact"/>
              <w:jc w:val="center"/>
              <w:rPr>
                <w:rFonts w:hint="eastAsia" w:ascii="Times New Roman" w:hAnsi="Times New Roman" w:eastAsia="仿宋_GB2312" w:cstheme="minorBidi"/>
                <w:color w:val="auto"/>
                <w:kern w:val="2"/>
                <w:sz w:val="21"/>
                <w:szCs w:val="21"/>
                <w:lang w:val="en-US" w:eastAsia="zh-CN" w:bidi="ar-SA"/>
              </w:rPr>
            </w:pPr>
            <w:r>
              <w:rPr>
                <w:rFonts w:hint="eastAsia" w:ascii="Times New Roman" w:hAnsi="Times New Roman" w:eastAsia="仿宋_GB2312" w:cstheme="minorBidi"/>
                <w:b/>
                <w:bCs/>
                <w:color w:val="auto"/>
                <w:kern w:val="2"/>
                <w:sz w:val="21"/>
                <w:szCs w:val="21"/>
                <w:lang w:val="en-US" w:eastAsia="zh-CN" w:bidi="ar-SA"/>
              </w:rPr>
              <w:t>生产能力和质量保障能力方案</w:t>
            </w:r>
          </w:p>
        </w:tc>
        <w:tc>
          <w:tcPr>
            <w:tcW w:w="5859" w:type="dxa"/>
            <w:vAlign w:val="center"/>
          </w:tcPr>
          <w:p>
            <w:pPr>
              <w:spacing w:line="400" w:lineRule="exact"/>
              <w:ind w:firstLine="422" w:firstLineChars="20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rPr>
              <w:t>一档（</w:t>
            </w:r>
            <w:r>
              <w:rPr>
                <w:rFonts w:hint="eastAsia" w:ascii="仿宋_GB2312" w:hAnsi="仿宋_GB2312" w:cs="仿宋_GB2312"/>
                <w:b/>
                <w:bCs/>
                <w:sz w:val="21"/>
                <w:szCs w:val="21"/>
                <w:lang w:val="en-US" w:eastAsia="zh-CN"/>
              </w:rPr>
              <w:t>6</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：优于二档，投标人或投标产品生产厂家产品生产保障措施</w:t>
            </w:r>
            <w:r>
              <w:rPr>
                <w:rFonts w:hint="eastAsia" w:ascii="仿宋_GB2312" w:hAnsi="仿宋_GB2312" w:eastAsia="仿宋_GB2312" w:cs="仿宋_GB2312"/>
                <w:sz w:val="21"/>
                <w:szCs w:val="21"/>
                <w:lang w:val="en-US" w:eastAsia="zh-CN"/>
              </w:rPr>
              <w:t>详细</w:t>
            </w:r>
            <w:r>
              <w:rPr>
                <w:rFonts w:hint="eastAsia" w:ascii="仿宋_GB2312" w:hAnsi="仿宋_GB2312" w:eastAsia="仿宋_GB2312" w:cs="仿宋_GB2312"/>
                <w:sz w:val="21"/>
                <w:szCs w:val="21"/>
              </w:rPr>
              <w:t>可行，原材料质量保障措施</w:t>
            </w:r>
            <w:r>
              <w:rPr>
                <w:rFonts w:hint="eastAsia" w:ascii="仿宋_GB2312" w:hAnsi="仿宋_GB2312" w:eastAsia="仿宋_GB2312" w:cs="仿宋_GB2312"/>
                <w:sz w:val="21"/>
                <w:szCs w:val="21"/>
                <w:lang w:val="en-US" w:eastAsia="zh-CN"/>
              </w:rPr>
              <w:t>等可</w:t>
            </w:r>
            <w:r>
              <w:rPr>
                <w:rFonts w:hint="eastAsia" w:ascii="仿宋_GB2312" w:hAnsi="仿宋_GB2312" w:eastAsia="仿宋_GB2312" w:cs="仿宋_GB2312"/>
                <w:sz w:val="21"/>
                <w:szCs w:val="21"/>
              </w:rPr>
              <w:t>完全满足采购需求。</w:t>
            </w:r>
          </w:p>
          <w:p>
            <w:pPr>
              <w:spacing w:line="400" w:lineRule="exact"/>
              <w:ind w:firstLine="422"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二档（</w:t>
            </w:r>
            <w:r>
              <w:rPr>
                <w:rFonts w:hint="eastAsia" w:ascii="仿宋_GB2312" w:hAnsi="仿宋_GB2312" w:cs="仿宋_GB2312"/>
                <w:b/>
                <w:bCs/>
                <w:sz w:val="21"/>
                <w:szCs w:val="21"/>
                <w:lang w:val="en-US" w:eastAsia="zh-CN"/>
              </w:rPr>
              <w:t>4</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：优于</w:t>
            </w:r>
            <w:r>
              <w:rPr>
                <w:rFonts w:hint="eastAsia" w:ascii="仿宋_GB2312" w:hAnsi="仿宋_GB2312" w:eastAsia="仿宋_GB2312" w:cs="仿宋_GB2312"/>
                <w:sz w:val="21"/>
                <w:szCs w:val="21"/>
                <w:lang w:eastAsia="zh-CN"/>
              </w:rPr>
              <w:t>三</w:t>
            </w:r>
            <w:r>
              <w:rPr>
                <w:rFonts w:hint="eastAsia" w:ascii="仿宋_GB2312" w:hAnsi="仿宋_GB2312" w:eastAsia="仿宋_GB2312" w:cs="仿宋_GB2312"/>
                <w:sz w:val="21"/>
                <w:szCs w:val="21"/>
              </w:rPr>
              <w:t>档，投标人或投标产品生产厂家产品生产保障措施较完整，有生产过程对环境保护措施、生产设备性能及功能描述</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产品生产工艺流程等。</w:t>
            </w:r>
          </w:p>
          <w:p>
            <w:pPr>
              <w:spacing w:line="400" w:lineRule="exact"/>
              <w:ind w:firstLine="422" w:firstLineChars="20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rPr>
              <w:t>三档（</w:t>
            </w:r>
            <w:r>
              <w:rPr>
                <w:rFonts w:hint="eastAsia" w:ascii="仿宋_GB2312" w:hAnsi="仿宋_GB2312" w:cs="仿宋_GB2312"/>
                <w:b/>
                <w:bCs/>
                <w:sz w:val="21"/>
                <w:szCs w:val="21"/>
                <w:lang w:val="en-US" w:eastAsia="zh-CN"/>
              </w:rPr>
              <w:t>2</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：投标人或投标产品生产厂家产品生产保障措施简单，有简单的质量管控措施，工厂生产设备能满足本项目产品的生产要求</w:t>
            </w:r>
            <w:r>
              <w:rPr>
                <w:rFonts w:hint="eastAsia" w:ascii="仿宋_GB2312" w:hAnsi="仿宋_GB2312" w:eastAsia="仿宋_GB2312" w:cs="仿宋_GB2312"/>
                <w:sz w:val="21"/>
                <w:szCs w:val="21"/>
                <w:lang w:eastAsia="zh-CN"/>
              </w:rPr>
              <w:t>。</w:t>
            </w:r>
          </w:p>
          <w:p>
            <w:pPr>
              <w:spacing w:line="400" w:lineRule="exact"/>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注：1.该方案内容可包括</w:t>
            </w:r>
            <w:r>
              <w:rPr>
                <w:rFonts w:hint="eastAsia" w:ascii="仿宋_GB2312" w:hAnsi="仿宋_GB2312" w:eastAsia="仿宋_GB2312" w:cs="仿宋_GB2312"/>
                <w:b/>
                <w:bCs/>
                <w:sz w:val="21"/>
                <w:szCs w:val="21"/>
                <w:lang w:eastAsia="zh-CN"/>
              </w:rPr>
              <w:t>：（1）投标人或生产厂家生产场地情况；（2）主要设备；（3）生产管理等内容。</w:t>
            </w:r>
          </w:p>
          <w:p>
            <w:pPr>
              <w:widowControl/>
              <w:spacing w:line="400" w:lineRule="exact"/>
              <w:ind w:firstLine="422"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bCs/>
                <w:sz w:val="21"/>
                <w:szCs w:val="21"/>
              </w:rPr>
              <w:t>2.未提供以上方案或提供的内容与本项目无关的得0分。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sz w:val="21"/>
                <w:szCs w:val="21"/>
                <w:lang w:val="en" w:eastAsia="zh-CN"/>
              </w:rPr>
            </w:pPr>
            <w:r>
              <w:rPr>
                <w:rFonts w:hint="eastAsia" w:ascii="仿宋_GB2312" w:hAnsi="仿宋_GB2312" w:cs="仿宋_GB2312"/>
                <w:b/>
                <w:bCs/>
                <w:color w:val="auto"/>
                <w:sz w:val="21"/>
                <w:szCs w:val="21"/>
                <w:lang w:val="en-US" w:eastAsia="zh-CN"/>
              </w:rPr>
              <w:t>6</w:t>
            </w:r>
          </w:p>
        </w:tc>
        <w:tc>
          <w:tcPr>
            <w:tcW w:w="1550"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生产能力和质量保障能力方案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sz w:val="21"/>
                <w:szCs w:val="21"/>
              </w:rPr>
              <w:t>设计方案分</w:t>
            </w:r>
          </w:p>
        </w:tc>
        <w:tc>
          <w:tcPr>
            <w:tcW w:w="1090" w:type="dxa"/>
            <w:vAlign w:val="center"/>
          </w:tcPr>
          <w:p>
            <w:pPr>
              <w:spacing w:line="400" w:lineRule="exact"/>
              <w:jc w:val="center"/>
              <w:rPr>
                <w:rFonts w:hint="eastAsia" w:ascii="Times New Roman" w:hAnsi="Times New Roman" w:eastAsia="仿宋_GB2312" w:cstheme="minorBidi"/>
                <w:b/>
                <w:bCs/>
                <w:color w:val="auto"/>
                <w:kern w:val="2"/>
                <w:sz w:val="21"/>
                <w:szCs w:val="21"/>
                <w:lang w:val="en-US" w:eastAsia="zh-CN" w:bidi="ar-SA"/>
              </w:rPr>
            </w:pPr>
            <w:r>
              <w:rPr>
                <w:rFonts w:hint="eastAsia" w:ascii="仿宋_GB2312" w:hAnsi="仿宋_GB2312" w:eastAsia="仿宋_GB2312" w:cs="仿宋_GB2312"/>
                <w:b/>
                <w:bCs/>
                <w:sz w:val="21"/>
                <w:szCs w:val="21"/>
              </w:rPr>
              <w:t>设计方案</w:t>
            </w:r>
          </w:p>
        </w:tc>
        <w:tc>
          <w:tcPr>
            <w:tcW w:w="5859" w:type="dxa"/>
            <w:vAlign w:val="center"/>
          </w:tcPr>
          <w:p>
            <w:pPr>
              <w:widowControl w:val="0"/>
              <w:spacing w:line="360" w:lineRule="exact"/>
              <w:ind w:firstLine="422" w:firstLineChars="200"/>
              <w:jc w:val="both"/>
              <w:rPr>
                <w:rFonts w:ascii="仿宋_GB2312" w:hAnsi="仿宋_GB2312" w:eastAsia="仿宋_GB2312" w:cs="仿宋_GB2312"/>
                <w:b/>
                <w:bCs/>
                <w:color w:val="000000"/>
                <w:kern w:val="2"/>
                <w:sz w:val="21"/>
                <w:szCs w:val="24"/>
                <w:lang w:val="en-US" w:eastAsia="zh-CN" w:bidi="ar-SA"/>
              </w:rPr>
            </w:pPr>
            <w:r>
              <w:rPr>
                <w:rFonts w:ascii="仿宋_GB2312" w:hAnsi="仿宋_GB2312" w:eastAsia="仿宋_GB2312" w:cs="仿宋_GB2312"/>
                <w:b/>
                <w:bCs/>
                <w:color w:val="000000"/>
                <w:kern w:val="2"/>
                <w:sz w:val="21"/>
                <w:szCs w:val="24"/>
                <w:lang w:val="en-US" w:eastAsia="zh-CN" w:bidi="ar-SA"/>
              </w:rPr>
              <w:t>一档（</w:t>
            </w:r>
            <w:r>
              <w:rPr>
                <w:rFonts w:hint="eastAsia" w:ascii="仿宋_GB2312" w:hAnsi="仿宋_GB2312" w:eastAsia="仿宋_GB2312" w:cs="仿宋_GB2312"/>
                <w:b/>
                <w:bCs/>
                <w:color w:val="000000"/>
                <w:kern w:val="2"/>
                <w:sz w:val="21"/>
                <w:szCs w:val="24"/>
                <w:lang w:val="en-US" w:eastAsia="zh-CN" w:bidi="ar-SA"/>
              </w:rPr>
              <w:t>13</w:t>
            </w:r>
            <w:r>
              <w:rPr>
                <w:rFonts w:ascii="仿宋_GB2312" w:hAnsi="仿宋_GB2312" w:eastAsia="仿宋_GB2312" w:cs="仿宋_GB2312"/>
                <w:b/>
                <w:bCs/>
                <w:color w:val="000000"/>
                <w:kern w:val="2"/>
                <w:sz w:val="21"/>
                <w:szCs w:val="24"/>
                <w:lang w:val="en-US" w:eastAsia="zh-CN" w:bidi="ar-SA"/>
              </w:rPr>
              <w:t>分）：</w:t>
            </w:r>
            <w:r>
              <w:rPr>
                <w:rFonts w:ascii="仿宋_GB2312" w:hAnsi="仿宋_GB2312" w:eastAsia="仿宋_GB2312" w:cs="仿宋_GB2312"/>
                <w:color w:val="000000"/>
                <w:kern w:val="2"/>
                <w:sz w:val="21"/>
                <w:szCs w:val="24"/>
                <w:lang w:val="en-US" w:eastAsia="zh-CN" w:bidi="ar-SA"/>
              </w:rPr>
              <w:t>产品外观设计，款式结构，色彩良好且具有特色，</w:t>
            </w:r>
            <w:r>
              <w:rPr>
                <w:rFonts w:hint="eastAsia" w:ascii="仿宋_GB2312" w:hAnsi="仿宋_GB2312" w:eastAsia="仿宋_GB2312" w:cs="仿宋_GB2312"/>
                <w:color w:val="000000"/>
                <w:kern w:val="2"/>
                <w:sz w:val="21"/>
                <w:szCs w:val="24"/>
                <w:lang w:val="en-US" w:eastAsia="zh-CN" w:bidi="ar-SA"/>
              </w:rPr>
              <w:t>能</w:t>
            </w:r>
            <w:r>
              <w:rPr>
                <w:rFonts w:ascii="仿宋_GB2312" w:hAnsi="仿宋_GB2312" w:eastAsia="仿宋_GB2312" w:cs="仿宋_GB2312"/>
                <w:color w:val="000000"/>
                <w:kern w:val="2"/>
                <w:sz w:val="21"/>
                <w:szCs w:val="24"/>
                <w:lang w:val="en-US" w:eastAsia="zh-CN" w:bidi="ar-SA"/>
              </w:rPr>
              <w:t>提供</w:t>
            </w:r>
            <w:r>
              <w:rPr>
                <w:rFonts w:hint="eastAsia" w:ascii="仿宋_GB2312" w:hAnsi="仿宋_GB2312" w:eastAsia="仿宋_GB2312" w:cs="仿宋_GB2312"/>
                <w:color w:val="000000"/>
                <w:kern w:val="2"/>
                <w:sz w:val="21"/>
                <w:szCs w:val="24"/>
                <w:lang w:val="en-US" w:eastAsia="zh-CN" w:bidi="ar-SA"/>
              </w:rPr>
              <w:t>核心</w:t>
            </w:r>
            <w:r>
              <w:rPr>
                <w:rFonts w:ascii="仿宋_GB2312" w:hAnsi="仿宋_GB2312" w:eastAsia="仿宋_GB2312" w:cs="仿宋_GB2312"/>
                <w:color w:val="000000"/>
                <w:kern w:val="2"/>
                <w:sz w:val="21"/>
                <w:szCs w:val="24"/>
                <w:lang w:val="en-US" w:eastAsia="zh-CN" w:bidi="ar-SA"/>
              </w:rPr>
              <w:t>产品</w:t>
            </w:r>
            <w:bookmarkStart w:id="3" w:name="OLE_LINK2"/>
            <w:r>
              <w:rPr>
                <w:rFonts w:ascii="仿宋_GB2312" w:hAnsi="仿宋_GB2312" w:eastAsia="仿宋_GB2312" w:cs="仿宋_GB2312"/>
                <w:color w:val="000000"/>
                <w:kern w:val="2"/>
                <w:sz w:val="21"/>
                <w:szCs w:val="24"/>
                <w:lang w:val="en-US" w:eastAsia="zh-CN" w:bidi="ar-SA"/>
              </w:rPr>
              <w:t>外观设计</w:t>
            </w:r>
            <w:bookmarkEnd w:id="3"/>
            <w:r>
              <w:rPr>
                <w:rFonts w:ascii="仿宋_GB2312" w:hAnsi="仿宋_GB2312" w:eastAsia="仿宋_GB2312" w:cs="仿宋_GB2312"/>
                <w:color w:val="000000"/>
                <w:kern w:val="2"/>
                <w:sz w:val="21"/>
                <w:szCs w:val="24"/>
                <w:lang w:val="en-US" w:eastAsia="zh-CN" w:bidi="ar-SA"/>
              </w:rPr>
              <w:t>三维图纸</w:t>
            </w:r>
            <w:r>
              <w:rPr>
                <w:rFonts w:hint="eastAsia" w:ascii="仿宋_GB2312" w:hAnsi="仿宋_GB2312" w:eastAsia="仿宋_GB2312" w:cs="仿宋_GB2312"/>
                <w:color w:val="000000"/>
                <w:kern w:val="2"/>
                <w:sz w:val="21"/>
                <w:szCs w:val="24"/>
                <w:lang w:val="en-US" w:eastAsia="zh-CN" w:bidi="ar-SA"/>
              </w:rPr>
              <w:t>、外观设计二维图纸、</w:t>
            </w:r>
            <w:r>
              <w:rPr>
                <w:rFonts w:ascii="仿宋_GB2312" w:hAnsi="仿宋_GB2312" w:eastAsia="仿宋_GB2312" w:cs="仿宋_GB2312"/>
                <w:color w:val="000000"/>
                <w:kern w:val="2"/>
                <w:sz w:val="21"/>
                <w:szCs w:val="24"/>
                <w:lang w:val="en-US" w:eastAsia="zh-CN" w:bidi="ar-SA"/>
              </w:rPr>
              <w:t>款式结构图</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详细的零部件图</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产品设计用材</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产品工件明细表（列明“自制件”</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“外协件”</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“外购件”）</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五金配件表</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产品质量保证及检测方法等技术文件，设计理念较好的体现了人性化理念</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能使用便捷及安全防护方面有更完善的解决方案，美观又耐用，并且设计方案所体现的整体设计效果图的颜色搭配美观</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空间合理利用相对优秀</w:t>
            </w:r>
            <w:r>
              <w:rPr>
                <w:rFonts w:hint="eastAsia" w:ascii="仿宋_GB2312" w:hAnsi="仿宋_GB2312" w:eastAsia="仿宋_GB2312" w:cs="仿宋_GB2312"/>
                <w:color w:val="000000"/>
                <w:kern w:val="2"/>
                <w:sz w:val="21"/>
                <w:szCs w:val="24"/>
                <w:lang w:val="en-US" w:eastAsia="zh-CN" w:bidi="ar-SA"/>
              </w:rPr>
              <w:t>；</w:t>
            </w:r>
          </w:p>
          <w:p>
            <w:pPr>
              <w:widowControl w:val="0"/>
              <w:spacing w:line="360" w:lineRule="exact"/>
              <w:ind w:firstLine="422" w:firstLineChars="200"/>
              <w:jc w:val="both"/>
              <w:rPr>
                <w:rFonts w:ascii="仿宋_GB2312" w:hAnsi="仿宋_GB2312" w:eastAsia="仿宋_GB2312" w:cs="仿宋_GB2312"/>
                <w:b/>
                <w:bCs/>
                <w:color w:val="000000"/>
                <w:kern w:val="2"/>
                <w:sz w:val="21"/>
                <w:szCs w:val="24"/>
                <w:lang w:val="en-US" w:eastAsia="zh-CN" w:bidi="ar-SA"/>
              </w:rPr>
            </w:pPr>
            <w:r>
              <w:rPr>
                <w:rFonts w:ascii="仿宋_GB2312" w:hAnsi="仿宋_GB2312" w:eastAsia="仿宋_GB2312" w:cs="仿宋_GB2312"/>
                <w:b/>
                <w:bCs/>
                <w:color w:val="000000"/>
                <w:kern w:val="2"/>
                <w:sz w:val="21"/>
                <w:szCs w:val="24"/>
                <w:lang w:val="en-US" w:eastAsia="zh-CN" w:bidi="ar-SA"/>
              </w:rPr>
              <w:t>二档（</w:t>
            </w:r>
            <w:r>
              <w:rPr>
                <w:rFonts w:hint="eastAsia" w:ascii="仿宋_GB2312" w:hAnsi="仿宋_GB2312" w:eastAsia="仿宋_GB2312" w:cs="仿宋_GB2312"/>
                <w:b/>
                <w:bCs/>
                <w:color w:val="000000"/>
                <w:kern w:val="2"/>
                <w:sz w:val="21"/>
                <w:szCs w:val="24"/>
                <w:lang w:val="en-US" w:eastAsia="zh-CN" w:bidi="ar-SA"/>
              </w:rPr>
              <w:t>8</w:t>
            </w:r>
            <w:r>
              <w:rPr>
                <w:rFonts w:ascii="仿宋_GB2312" w:hAnsi="仿宋_GB2312" w:eastAsia="仿宋_GB2312" w:cs="仿宋_GB2312"/>
                <w:b/>
                <w:bCs/>
                <w:color w:val="000000"/>
                <w:kern w:val="2"/>
                <w:sz w:val="21"/>
                <w:szCs w:val="24"/>
                <w:lang w:val="en-US" w:eastAsia="zh-CN" w:bidi="ar-SA"/>
              </w:rPr>
              <w:t>分）：</w:t>
            </w:r>
            <w:r>
              <w:rPr>
                <w:rFonts w:ascii="仿宋_GB2312" w:hAnsi="仿宋_GB2312" w:eastAsia="仿宋_GB2312" w:cs="仿宋_GB2312"/>
                <w:color w:val="000000"/>
                <w:kern w:val="2"/>
                <w:sz w:val="21"/>
                <w:szCs w:val="24"/>
                <w:lang w:val="en-US" w:eastAsia="zh-CN" w:bidi="ar-SA"/>
              </w:rPr>
              <w:t>产品外观设计，款式结构，色彩良好，优于采购需求，能提供</w:t>
            </w:r>
            <w:r>
              <w:rPr>
                <w:rFonts w:hint="eastAsia" w:ascii="仿宋_GB2312" w:hAnsi="仿宋_GB2312" w:eastAsia="仿宋_GB2312" w:cs="仿宋_GB2312"/>
                <w:color w:val="000000"/>
                <w:kern w:val="2"/>
                <w:sz w:val="21"/>
                <w:szCs w:val="24"/>
                <w:lang w:val="en-US" w:eastAsia="zh-CN" w:bidi="ar-SA"/>
              </w:rPr>
              <w:t>核心</w:t>
            </w:r>
            <w:r>
              <w:rPr>
                <w:rFonts w:ascii="仿宋_GB2312" w:hAnsi="仿宋_GB2312" w:eastAsia="仿宋_GB2312" w:cs="仿宋_GB2312"/>
                <w:color w:val="000000"/>
                <w:kern w:val="2"/>
                <w:sz w:val="21"/>
                <w:szCs w:val="24"/>
                <w:lang w:val="en-US" w:eastAsia="zh-CN" w:bidi="ar-SA"/>
              </w:rPr>
              <w:t>产品外观设计二维图纸</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款式结构图</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详细的零部件图</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产品设计用材</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产品工件明细表（列明“自制件”</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“外协件”</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“外购件”）</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五金配件表</w:t>
            </w:r>
            <w:r>
              <w:rPr>
                <w:rFonts w:hint="eastAsia" w:ascii="仿宋_GB2312" w:hAnsi="仿宋_GB2312" w:eastAsia="仿宋_GB2312" w:cs="仿宋_GB2312"/>
                <w:color w:val="000000"/>
                <w:kern w:val="2"/>
                <w:sz w:val="21"/>
                <w:szCs w:val="24"/>
                <w:lang w:val="en-US" w:eastAsia="zh-CN" w:bidi="ar-SA"/>
              </w:rPr>
              <w:t>、</w:t>
            </w:r>
            <w:r>
              <w:rPr>
                <w:rFonts w:ascii="仿宋_GB2312" w:hAnsi="仿宋_GB2312" w:eastAsia="仿宋_GB2312" w:cs="仿宋_GB2312"/>
                <w:color w:val="000000"/>
                <w:kern w:val="2"/>
                <w:sz w:val="21"/>
                <w:szCs w:val="24"/>
                <w:lang w:val="en-US" w:eastAsia="zh-CN" w:bidi="ar-SA"/>
              </w:rPr>
              <w:t>产品质量保证及检测方法等技术文件；</w:t>
            </w:r>
          </w:p>
          <w:p>
            <w:pPr>
              <w:spacing w:line="400" w:lineRule="exact"/>
              <w:ind w:firstLine="422" w:firstLineChars="200"/>
              <w:jc w:val="left"/>
              <w:rPr>
                <w:rFonts w:ascii="仿宋_GB2312" w:hAnsi="仿宋_GB2312" w:eastAsia="仿宋_GB2312" w:cs="仿宋_GB2312"/>
                <w:color w:val="000000"/>
                <w:kern w:val="2"/>
                <w:sz w:val="21"/>
                <w:szCs w:val="24"/>
                <w:lang w:val="en-US" w:eastAsia="zh-CN" w:bidi="ar-SA"/>
              </w:rPr>
            </w:pPr>
            <w:r>
              <w:rPr>
                <w:rFonts w:ascii="仿宋_GB2312" w:hAnsi="仿宋_GB2312" w:eastAsia="仿宋_GB2312" w:cs="仿宋_GB2312"/>
                <w:b/>
                <w:bCs/>
                <w:color w:val="000000"/>
                <w:kern w:val="2"/>
                <w:sz w:val="21"/>
                <w:szCs w:val="24"/>
                <w:lang w:val="en-US" w:eastAsia="zh-CN" w:bidi="ar-SA"/>
              </w:rPr>
              <w:t>三档（</w:t>
            </w:r>
            <w:r>
              <w:rPr>
                <w:rFonts w:hint="eastAsia" w:ascii="仿宋_GB2312" w:hAnsi="仿宋_GB2312" w:cs="仿宋_GB2312"/>
                <w:b/>
                <w:bCs/>
                <w:color w:val="000000"/>
                <w:kern w:val="2"/>
                <w:sz w:val="21"/>
                <w:szCs w:val="24"/>
                <w:lang w:val="en-US" w:eastAsia="zh-CN" w:bidi="ar-SA"/>
              </w:rPr>
              <w:t>4</w:t>
            </w:r>
            <w:r>
              <w:rPr>
                <w:rFonts w:ascii="仿宋_GB2312" w:hAnsi="仿宋_GB2312" w:eastAsia="仿宋_GB2312" w:cs="仿宋_GB2312"/>
                <w:b/>
                <w:bCs/>
                <w:color w:val="000000"/>
                <w:kern w:val="2"/>
                <w:sz w:val="21"/>
                <w:szCs w:val="24"/>
                <w:lang w:val="en-US" w:eastAsia="zh-CN" w:bidi="ar-SA"/>
              </w:rPr>
              <w:t>分）：</w:t>
            </w:r>
            <w:r>
              <w:rPr>
                <w:rFonts w:ascii="仿宋_GB2312" w:hAnsi="仿宋_GB2312" w:eastAsia="仿宋_GB2312" w:cs="仿宋_GB2312"/>
                <w:color w:val="000000"/>
                <w:kern w:val="2"/>
                <w:sz w:val="21"/>
                <w:szCs w:val="24"/>
                <w:lang w:val="en-US" w:eastAsia="zh-CN" w:bidi="ar-SA"/>
              </w:rPr>
              <w:t>符合招标文件要求，产品设计方案能满足采购需求，产品图纸齐全，但比较简单。</w:t>
            </w:r>
          </w:p>
          <w:p>
            <w:pPr>
              <w:spacing w:line="400" w:lineRule="exact"/>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rPr>
              <w:t>.该方案内容可以包括：（1）</w:t>
            </w:r>
            <w:r>
              <w:rPr>
                <w:rFonts w:hint="eastAsia" w:ascii="仿宋_GB2312" w:hAnsi="仿宋_GB2312" w:eastAsia="仿宋_GB2312" w:cs="仿宋_GB2312"/>
                <w:b/>
                <w:bCs/>
                <w:sz w:val="21"/>
                <w:szCs w:val="21"/>
                <w:lang w:val="en-US" w:eastAsia="zh-CN"/>
              </w:rPr>
              <w:t>产品设计用材；（2）产品五金配件表；（3）</w:t>
            </w:r>
            <w:r>
              <w:rPr>
                <w:rFonts w:hint="eastAsia" w:ascii="仿宋_GB2312" w:hAnsi="仿宋_GB2312" w:eastAsia="仿宋_GB2312" w:cs="仿宋_GB2312"/>
                <w:b/>
                <w:bCs/>
                <w:sz w:val="21"/>
                <w:szCs w:val="21"/>
              </w:rPr>
              <w:t>产品外观设计图</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rPr>
              <w:t>须按技术参数要求注明</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4</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产品</w:t>
            </w:r>
            <w:r>
              <w:rPr>
                <w:rFonts w:hint="eastAsia" w:ascii="仿宋_GB2312" w:hAnsi="仿宋_GB2312" w:eastAsia="仿宋_GB2312" w:cs="仿宋_GB2312"/>
                <w:b/>
                <w:bCs/>
                <w:sz w:val="21"/>
                <w:szCs w:val="21"/>
                <w:lang w:eastAsia="zh-CN"/>
              </w:rPr>
              <w:t>效果图</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5</w:t>
            </w:r>
            <w:r>
              <w:rPr>
                <w:rFonts w:hint="eastAsia" w:ascii="仿宋_GB2312" w:hAnsi="仿宋_GB2312" w:eastAsia="仿宋_GB2312" w:cs="仿宋_GB2312"/>
                <w:b/>
                <w:bCs/>
                <w:sz w:val="21"/>
                <w:szCs w:val="21"/>
              </w:rPr>
              <w:t>）产品的</w:t>
            </w:r>
            <w:r>
              <w:rPr>
                <w:rFonts w:hint="eastAsia" w:ascii="仿宋_GB2312" w:hAnsi="仿宋_GB2312" w:eastAsia="仿宋_GB2312" w:cs="仿宋_GB2312"/>
                <w:b/>
                <w:bCs/>
                <w:sz w:val="21"/>
                <w:szCs w:val="21"/>
                <w:lang w:eastAsia="zh-CN"/>
              </w:rPr>
              <w:t>部件分解</w:t>
            </w:r>
            <w:r>
              <w:rPr>
                <w:rFonts w:hint="eastAsia" w:ascii="仿宋_GB2312" w:hAnsi="仿宋_GB2312" w:eastAsia="仿宋_GB2312" w:cs="仿宋_GB2312"/>
                <w:b/>
                <w:bCs/>
                <w:sz w:val="21"/>
                <w:szCs w:val="21"/>
              </w:rPr>
              <w:t>图等内容。</w:t>
            </w:r>
          </w:p>
          <w:p>
            <w:pPr>
              <w:widowControl/>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cs="仿宋_GB2312"/>
                <w:b/>
                <w:bCs/>
                <w:sz w:val="21"/>
                <w:szCs w:val="21"/>
                <w:lang w:val="en-US" w:eastAsia="zh-CN"/>
              </w:rPr>
              <w:t>2</w:t>
            </w:r>
            <w:r>
              <w:rPr>
                <w:rFonts w:hint="eastAsia" w:ascii="仿宋_GB2312" w:hAnsi="仿宋_GB2312" w:eastAsia="仿宋_GB2312" w:cs="仿宋_GB2312"/>
                <w:b/>
                <w:bCs/>
                <w:sz w:val="21"/>
                <w:szCs w:val="21"/>
                <w:lang w:val="en-US" w:eastAsia="zh-CN"/>
              </w:rPr>
              <w:t>.</w:t>
            </w:r>
            <w:r>
              <w:rPr>
                <w:rFonts w:hint="eastAsia" w:ascii="仿宋_GB2312" w:hAnsi="仿宋_GB2312" w:eastAsia="仿宋_GB2312" w:cs="仿宋_GB2312"/>
                <w:b/>
                <w:bCs/>
                <w:sz w:val="21"/>
                <w:szCs w:val="21"/>
              </w:rPr>
              <w:t>未提供以上方案或提供的内容与本项目无关的得0分。</w:t>
            </w:r>
          </w:p>
        </w:tc>
        <w:tc>
          <w:tcPr>
            <w:tcW w:w="967" w:type="dxa"/>
            <w:vAlign w:val="center"/>
          </w:tcPr>
          <w:p>
            <w:pPr>
              <w:spacing w:line="360" w:lineRule="exact"/>
              <w:jc w:val="center"/>
              <w:rPr>
                <w:rFonts w:hint="default" w:ascii="仿宋_GB2312" w:hAnsi="仿宋_GB2312" w:cs="仿宋_GB2312"/>
                <w:b/>
                <w:bCs/>
                <w:color w:val="auto"/>
                <w:sz w:val="21"/>
                <w:szCs w:val="21"/>
                <w:lang w:val="en-US" w:eastAsia="zh-CN"/>
              </w:rPr>
            </w:pPr>
            <w:r>
              <w:rPr>
                <w:rFonts w:hint="eastAsia" w:ascii="仿宋_GB2312" w:hAnsi="仿宋_GB2312" w:cs="仿宋_GB2312"/>
                <w:b/>
                <w:bCs/>
                <w:color w:val="auto"/>
                <w:sz w:val="21"/>
                <w:szCs w:val="21"/>
                <w:lang w:val="en-US" w:eastAsia="zh-CN"/>
              </w:rPr>
              <w:t>13</w:t>
            </w:r>
          </w:p>
        </w:tc>
        <w:tc>
          <w:tcPr>
            <w:tcW w:w="1550"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rPr>
              <w:t>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49"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售后服务方案分</w:t>
            </w:r>
          </w:p>
        </w:tc>
        <w:tc>
          <w:tcPr>
            <w:tcW w:w="1090" w:type="dxa"/>
            <w:vAlign w:val="center"/>
          </w:tcPr>
          <w:p>
            <w:pPr>
              <w:widowControl/>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售后服务方案</w:t>
            </w:r>
          </w:p>
        </w:tc>
        <w:tc>
          <w:tcPr>
            <w:tcW w:w="5859" w:type="dxa"/>
            <w:vAlign w:val="center"/>
          </w:tcPr>
          <w:p>
            <w:pPr>
              <w:pStyle w:val="32"/>
              <w:spacing w:line="43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一档（10分）</w:t>
            </w:r>
            <w:r>
              <w:rPr>
                <w:rFonts w:hint="eastAsia" w:ascii="仿宋_GB2312" w:hAnsi="仿宋_GB2312" w:eastAsia="仿宋_GB2312" w:cs="仿宋_GB2312"/>
                <w:color w:val="auto"/>
                <w:sz w:val="21"/>
                <w:szCs w:val="21"/>
              </w:rPr>
              <w:t>：在满足二档前提下，出现故障应在接到故障通知起立即响应，一般问题半小时内通过远程方式解决；遇到大的问题，故障修复时限不超过4小时,发生严重损坏随时有替代产品，定期回访，有可靠的售后服务技术支持，详细的售后维护方式和售后保障能力，常用的、易损坏的备品备件及易损件配备的齐全，有完善应急预案等。</w:t>
            </w:r>
          </w:p>
          <w:p>
            <w:pPr>
              <w:pStyle w:val="32"/>
              <w:spacing w:line="43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二档（6分）</w:t>
            </w:r>
            <w:r>
              <w:rPr>
                <w:rFonts w:hint="eastAsia" w:ascii="仿宋_GB2312" w:hAnsi="仿宋_GB2312" w:eastAsia="仿宋_GB2312" w:cs="仿宋_GB2312"/>
                <w:color w:val="auto"/>
                <w:sz w:val="21"/>
                <w:szCs w:val="21"/>
              </w:rPr>
              <w:t>：在满足三档前提下，售后服务承诺书内容详细具体；出现故障应在接到故障通知起20分钟内响应，一般问题1小时内通过远程方式解决；遇到大的问题，故障修复时限不超过6小时,损害出现解决方案可靠，定期维护方式方法合理，有完整的免费技术培训方案、保修期外维修方案；有完善的售后服务措施；对售后服务应急预案、其他优惠措施等方面都有描述，可操作性强。</w:t>
            </w:r>
          </w:p>
          <w:p>
            <w:pPr>
              <w:spacing w:line="400" w:lineRule="exact"/>
              <w:ind w:firstLine="422"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b/>
                <w:bCs/>
                <w:color w:val="auto"/>
                <w:sz w:val="21"/>
                <w:szCs w:val="21"/>
              </w:rPr>
              <w:t>三档（3分）</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sz w:val="21"/>
                <w:szCs w:val="21"/>
              </w:rPr>
              <w:t>在满足</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档前提下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售后服务承诺书内容完整；</w:t>
            </w:r>
            <w:r>
              <w:rPr>
                <w:rFonts w:hint="eastAsia" w:ascii="仿宋_GB2312" w:hAnsi="仿宋_GB2312" w:eastAsia="仿宋_GB2312" w:cs="仿宋_GB2312"/>
                <w:bCs w:val="0"/>
                <w:color w:val="auto"/>
                <w:sz w:val="21"/>
                <w:szCs w:val="21"/>
              </w:rPr>
              <w:t>出现故障应在接到故障通知起半小时内响应，</w:t>
            </w:r>
            <w:r>
              <w:rPr>
                <w:rFonts w:hint="eastAsia" w:ascii="仿宋_GB2312" w:hAnsi="仿宋_GB2312" w:eastAsia="仿宋_GB2312" w:cs="仿宋_GB2312"/>
                <w:sz w:val="21"/>
                <w:szCs w:val="21"/>
              </w:rPr>
              <w:t>一般问题1小时内通过远程方式解决；遇到大的问题，故障修复时限不超过</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小时,</w:t>
            </w:r>
            <w:r>
              <w:rPr>
                <w:rFonts w:hint="eastAsia" w:ascii="仿宋_GB2312" w:hAnsi="仿宋_GB2312" w:eastAsia="仿宋_GB2312" w:cs="仿宋_GB2312"/>
                <w:sz w:val="21"/>
                <w:szCs w:val="21"/>
                <w:lang w:val="en-US" w:eastAsia="zh-CN"/>
              </w:rPr>
              <w:t>损坏</w:t>
            </w:r>
            <w:r>
              <w:rPr>
                <w:rFonts w:hint="eastAsia" w:ascii="仿宋_GB2312" w:hAnsi="仿宋_GB2312" w:eastAsia="仿宋_GB2312" w:cs="仿宋_GB2312"/>
                <w:sz w:val="21"/>
                <w:szCs w:val="21"/>
              </w:rPr>
              <w:t>出现解决方案可靠，定期维护方式方法合理，有完整的免费技术培训方案、保修期外维修方案；有售后服务能力措施；</w:t>
            </w:r>
          </w:p>
          <w:p>
            <w:pPr>
              <w:spacing w:line="400" w:lineRule="exact"/>
              <w:ind w:firstLine="422" w:firstLineChars="20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lang w:eastAsia="zh-CN"/>
              </w:rPr>
              <w:t>四</w:t>
            </w:r>
            <w:r>
              <w:rPr>
                <w:rFonts w:hint="eastAsia" w:ascii="仿宋_GB2312" w:hAnsi="仿宋_GB2312" w:eastAsia="仿宋_GB2312" w:cs="仿宋_GB2312"/>
                <w:b/>
                <w:bCs/>
                <w:sz w:val="21"/>
                <w:szCs w:val="21"/>
              </w:rPr>
              <w:t>档（</w:t>
            </w: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：有售后服务承诺书；满足招标文件的要求，有</w:t>
            </w:r>
            <w:r>
              <w:rPr>
                <w:rFonts w:hint="eastAsia" w:ascii="仿宋_GB2312" w:hAnsi="仿宋_GB2312" w:eastAsia="仿宋_GB2312" w:cs="仿宋_GB2312"/>
                <w:sz w:val="21"/>
                <w:szCs w:val="21"/>
                <w:lang w:val="en-US" w:eastAsia="zh-CN"/>
              </w:rPr>
              <w:t>损坏</w:t>
            </w:r>
            <w:r>
              <w:rPr>
                <w:rFonts w:hint="eastAsia" w:ascii="仿宋_GB2312" w:hAnsi="仿宋_GB2312" w:eastAsia="仿宋_GB2312" w:cs="仿宋_GB2312"/>
                <w:sz w:val="21"/>
                <w:szCs w:val="21"/>
              </w:rPr>
              <w:t>出现解决方案，有技术培训方案、保修期外维修方案</w:t>
            </w:r>
            <w:r>
              <w:rPr>
                <w:rFonts w:hint="eastAsia" w:ascii="仿宋_GB2312" w:hAnsi="仿宋_GB2312" w:eastAsia="仿宋_GB2312" w:cs="仿宋_GB2312"/>
                <w:sz w:val="21"/>
                <w:szCs w:val="21"/>
                <w:lang w:eastAsia="zh-CN"/>
              </w:rPr>
              <w:t>。</w:t>
            </w:r>
          </w:p>
          <w:p>
            <w:pPr>
              <w:pStyle w:val="30"/>
              <w:spacing w:line="36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w:t>
            </w:r>
            <w:r>
              <w:rPr>
                <w:rFonts w:ascii="仿宋_GB2312" w:hAnsi="仿宋_GB2312" w:eastAsia="仿宋_GB2312" w:cs="仿宋_GB2312"/>
                <w:b/>
                <w:bCs/>
                <w:color w:val="auto"/>
                <w:sz w:val="21"/>
                <w:szCs w:val="21"/>
              </w:rPr>
              <w:t>1.该方案内容可以包括：</w:t>
            </w:r>
            <w:r>
              <w:rPr>
                <w:rFonts w:hint="eastAsia" w:ascii="仿宋_GB2312" w:hAnsi="仿宋_GB2312" w:eastAsia="仿宋_GB2312" w:cs="仿宋_GB2312"/>
                <w:b/>
                <w:bCs/>
                <w:color w:val="auto"/>
                <w:sz w:val="21"/>
                <w:szCs w:val="21"/>
              </w:rPr>
              <w:t>（1）售后服务承诺书；（2）到达损坏现场时间；（3）损坏解决方案；（4）免费技术培训方案；（5）保修期外维修方案；（6）售后服务措施；（7）应急预案；（8）其他优惠措施等内容。</w:t>
            </w:r>
          </w:p>
          <w:p>
            <w:pPr>
              <w:pStyle w:val="30"/>
              <w:spacing w:line="36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2.未提供以上方案或提供的内容与本项目无关的得0分。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color w:val="auto"/>
                <w:sz w:val="21"/>
                <w:szCs w:val="21"/>
              </w:rPr>
            </w:pPr>
            <w:r>
              <w:rPr>
                <w:rFonts w:ascii="仿宋_GB2312" w:hAnsi="仿宋_GB2312" w:eastAsia="仿宋_GB2312" w:cs="仿宋_GB2312"/>
                <w:b/>
                <w:bCs/>
                <w:color w:val="auto"/>
                <w:sz w:val="21"/>
                <w:szCs w:val="21"/>
              </w:rPr>
              <w:t>1</w:t>
            </w:r>
            <w:r>
              <w:rPr>
                <w:rFonts w:hint="eastAsia" w:ascii="仿宋_GB2312" w:hAnsi="仿宋_GB2312" w:eastAsia="仿宋_GB2312" w:cs="仿宋_GB2312"/>
                <w:b/>
                <w:bCs/>
                <w:color w:val="auto"/>
                <w:sz w:val="21"/>
                <w:szCs w:val="21"/>
              </w:rPr>
              <w:t>0</w:t>
            </w:r>
          </w:p>
        </w:tc>
        <w:tc>
          <w:tcPr>
            <w:tcW w:w="1550"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30"/>
              <w:spacing w:line="400" w:lineRule="exact"/>
              <w:ind w:firstLine="422" w:firstLineChars="20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主观分总分</w:t>
            </w:r>
          </w:p>
        </w:tc>
        <w:tc>
          <w:tcPr>
            <w:tcW w:w="967" w:type="dxa"/>
            <w:vAlign w:val="center"/>
          </w:tcPr>
          <w:p>
            <w:pPr>
              <w:spacing w:line="360" w:lineRule="exact"/>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cs="仿宋_GB2312"/>
                <w:b/>
                <w:bCs/>
                <w:color w:val="auto"/>
                <w:sz w:val="21"/>
                <w:szCs w:val="21"/>
                <w:lang w:val="en-US" w:eastAsia="zh-CN"/>
              </w:rPr>
              <w:t>37</w:t>
            </w:r>
          </w:p>
        </w:tc>
        <w:tc>
          <w:tcPr>
            <w:tcW w:w="1550" w:type="dxa"/>
            <w:vAlign w:val="center"/>
          </w:tcPr>
          <w:p>
            <w:pPr>
              <w:spacing w:line="360" w:lineRule="exact"/>
              <w:jc w:val="center"/>
              <w:rPr>
                <w:rFonts w:hint="eastAsia" w:ascii="仿宋_GB2312" w:hAnsi="仿宋_GB2312" w:eastAsia="仿宋_GB2312" w:cs="仿宋_GB2312"/>
                <w:color w:val="auto"/>
                <w:sz w:val="21"/>
                <w:szCs w:val="21"/>
              </w:rPr>
            </w:pPr>
          </w:p>
        </w:tc>
      </w:tr>
    </w:tbl>
    <w:p>
      <w:pPr>
        <w:pStyle w:val="12"/>
        <w:ind w:left="0" w:leftChars="0"/>
        <w:rPr>
          <w:color w:val="auto"/>
          <w:sz w:val="21"/>
          <w:szCs w:val="21"/>
        </w:rPr>
      </w:pPr>
    </w:p>
    <w:p>
      <w:pPr>
        <w:spacing w:line="390" w:lineRule="exact"/>
        <w:ind w:right="-256" w:rightChars="-80" w:firstLine="236" w:firstLineChars="98"/>
        <w:rPr>
          <w:rFonts w:ascii="仿宋_GB2312" w:eastAsia="仿宋_GB2312"/>
          <w:b/>
          <w:color w:val="auto"/>
          <w:sz w:val="24"/>
        </w:rPr>
      </w:pPr>
      <w:r>
        <w:rPr>
          <w:rFonts w:hint="eastAsia" w:ascii="仿宋_GB2312" w:eastAsia="仿宋_GB2312"/>
          <w:b/>
          <w:color w:val="auto"/>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color w:val="auto"/>
          <w:kern w:val="0"/>
          <w:sz w:val="24"/>
        </w:rPr>
      </w:pPr>
      <w:bookmarkStart w:id="4" w:name="gxebd_pack_1_EvalFactorScoreEnd"/>
      <w:bookmarkEnd w:id="4"/>
      <w:r>
        <w:rPr>
          <w:rFonts w:hint="eastAsia" w:ascii="仿宋_GB2312" w:hAnsi="宋体" w:eastAsia="仿宋_GB2312"/>
          <w:b/>
          <w:color w:val="auto"/>
          <w:kern w:val="0"/>
          <w:sz w:val="24"/>
        </w:rPr>
        <w:t>三、</w:t>
      </w:r>
      <w:r>
        <w:rPr>
          <w:rFonts w:hint="eastAsia" w:ascii="仿宋_GB2312" w:hAnsi="仿宋_GB2312" w:eastAsia="仿宋_GB2312" w:cs="仿宋_GB2312"/>
          <w:b/>
          <w:color w:val="auto"/>
          <w:sz w:val="24"/>
        </w:rPr>
        <w:t>成交候选供应商推荐原则</w:t>
      </w:r>
    </w:p>
    <w:p>
      <w:pPr>
        <w:adjustRightInd w:val="0"/>
        <w:spacing w:line="400" w:lineRule="exact"/>
        <w:ind w:firstLine="482" w:firstLineChars="200"/>
        <w:jc w:val="left"/>
        <w:textAlignment w:val="baseline"/>
        <w:rPr>
          <w:rFonts w:hint="eastAsia" w:ascii="仿宋_GB2312" w:hAnsi="宋体" w:eastAsia="仿宋_GB2312"/>
          <w:b/>
          <w:color w:val="auto"/>
          <w:kern w:val="0"/>
          <w:sz w:val="24"/>
        </w:rPr>
      </w:pPr>
      <w:r>
        <w:rPr>
          <w:rFonts w:hint="eastAsia" w:ascii="仿宋_GB2312" w:hAnsi="宋体" w:eastAsia="仿宋_GB2312"/>
          <w:b/>
          <w:color w:val="auto"/>
          <w:kern w:val="0"/>
          <w:sz w:val="24"/>
        </w:rPr>
        <w:t>评</w:t>
      </w:r>
      <w:r>
        <w:rPr>
          <w:rFonts w:hint="eastAsia" w:ascii="仿宋_GB2312" w:hAnsi="宋体"/>
          <w:b/>
          <w:color w:val="auto"/>
          <w:kern w:val="0"/>
          <w:sz w:val="24"/>
          <w:lang w:eastAsia="zh-CN"/>
        </w:rPr>
        <w:t>审</w:t>
      </w:r>
      <w:r>
        <w:rPr>
          <w:rFonts w:hint="eastAsia" w:ascii="仿宋_GB2312" w:hAnsi="宋体" w:eastAsia="仿宋_GB2312"/>
          <w:b/>
          <w:color w:val="auto"/>
          <w:kern w:val="0"/>
          <w:sz w:val="24"/>
        </w:rPr>
        <w:t>委员会将根据综合得分由高到低排列次序（得分相同时，以报价由低到高顺序排列；得分相同且报价相同的，按技术指标优劣顺序排列）并推荐综合得分前三名为</w:t>
      </w:r>
      <w:r>
        <w:rPr>
          <w:rFonts w:hint="eastAsia" w:ascii="仿宋_GB2312" w:hAnsi="仿宋_GB2312" w:eastAsia="仿宋_GB2312" w:cs="仿宋_GB2312"/>
          <w:b/>
          <w:color w:val="auto"/>
          <w:sz w:val="24"/>
          <w:highlight w:val="none"/>
        </w:rPr>
        <w:t>成交候选供应商</w:t>
      </w:r>
      <w:r>
        <w:rPr>
          <w:rFonts w:hint="eastAsia" w:ascii="仿宋_GB2312" w:hAnsi="宋体" w:eastAsia="仿宋_GB2312"/>
          <w:b/>
          <w:color w:val="auto"/>
          <w:kern w:val="0"/>
          <w:sz w:val="24"/>
        </w:rPr>
        <w:t>。采购人应当确定评审委员会推荐排名第一的</w:t>
      </w:r>
      <w:r>
        <w:rPr>
          <w:rFonts w:hint="eastAsia" w:ascii="仿宋_GB2312" w:hAnsi="仿宋_GB2312" w:eastAsia="仿宋_GB2312" w:cs="仿宋_GB2312"/>
          <w:b/>
          <w:color w:val="auto"/>
          <w:sz w:val="24"/>
          <w:highlight w:val="none"/>
        </w:rPr>
        <w:t>成交候选供应商</w:t>
      </w:r>
      <w:r>
        <w:rPr>
          <w:rFonts w:hint="eastAsia" w:ascii="仿宋_GB2312" w:hAnsi="宋体" w:eastAsia="仿宋_GB2312"/>
          <w:b/>
          <w:color w:val="auto"/>
          <w:kern w:val="0"/>
          <w:sz w:val="24"/>
        </w:rPr>
        <w:t>为</w:t>
      </w:r>
      <w:r>
        <w:rPr>
          <w:rFonts w:hint="eastAsia" w:ascii="仿宋_GB2312" w:hAnsi="仿宋_GB2312" w:eastAsia="仿宋_GB2312" w:cs="仿宋_GB2312"/>
          <w:b/>
          <w:color w:val="auto"/>
          <w:sz w:val="24"/>
          <w:highlight w:val="none"/>
        </w:rPr>
        <w:t>成交供应商</w:t>
      </w:r>
      <w:r>
        <w:rPr>
          <w:rFonts w:hint="eastAsia" w:ascii="仿宋_GB2312" w:hAnsi="宋体" w:eastAsia="仿宋_GB2312"/>
          <w:b/>
          <w:color w:val="auto"/>
          <w:kern w:val="0"/>
          <w:sz w:val="24"/>
        </w:rPr>
        <w:t>。</w:t>
      </w:r>
      <w:bookmarkStart w:id="5" w:name="_Hlk93676949"/>
      <w:r>
        <w:rPr>
          <w:rFonts w:hint="eastAsia" w:ascii="仿宋_GB2312" w:hAnsi="宋体" w:eastAsia="仿宋_GB2312"/>
          <w:b/>
          <w:color w:val="auto"/>
          <w:kern w:val="0"/>
          <w:sz w:val="24"/>
        </w:rPr>
        <w:t>排名第一的</w:t>
      </w:r>
      <w:r>
        <w:rPr>
          <w:rFonts w:hint="eastAsia" w:ascii="仿宋_GB2312" w:hAnsi="仿宋_GB2312" w:eastAsia="仿宋_GB2312" w:cs="仿宋_GB2312"/>
          <w:b/>
          <w:color w:val="auto"/>
          <w:sz w:val="24"/>
          <w:highlight w:val="none"/>
        </w:rPr>
        <w:t>成交候选供应商</w:t>
      </w:r>
      <w:r>
        <w:rPr>
          <w:rFonts w:hint="eastAsia" w:ascii="仿宋_GB2312" w:hAnsi="宋体" w:eastAsia="仿宋_GB2312"/>
          <w:b/>
          <w:color w:val="auto"/>
          <w:kern w:val="0"/>
          <w:sz w:val="24"/>
        </w:rPr>
        <w:t>放弃</w:t>
      </w:r>
      <w:r>
        <w:rPr>
          <w:rFonts w:hint="eastAsia" w:ascii="仿宋_GB2312" w:hAnsi="宋体"/>
          <w:b/>
          <w:color w:val="auto"/>
          <w:kern w:val="0"/>
          <w:sz w:val="24"/>
          <w:lang w:eastAsia="zh-CN"/>
        </w:rPr>
        <w:t>成交</w:t>
      </w:r>
      <w:r>
        <w:rPr>
          <w:rFonts w:hint="eastAsia" w:ascii="仿宋_GB2312" w:hAnsi="宋体" w:eastAsia="仿宋_GB2312"/>
          <w:b/>
          <w:color w:val="auto"/>
          <w:kern w:val="0"/>
          <w:sz w:val="24"/>
        </w:rPr>
        <w:t>、因不可抗力提出不能履行合同，</w:t>
      </w:r>
      <w:bookmarkEnd w:id="5"/>
      <w:r>
        <w:rPr>
          <w:rFonts w:hint="eastAsia" w:ascii="仿宋_GB2312" w:hAnsi="宋体" w:eastAsia="仿宋_GB2312"/>
          <w:b/>
          <w:color w:val="auto"/>
          <w:kern w:val="0"/>
          <w:sz w:val="24"/>
        </w:rPr>
        <w:t>采购人或采购代理机构应将该情况报政府采购监督管理部门，从合格的</w:t>
      </w:r>
      <w:r>
        <w:rPr>
          <w:rFonts w:hint="eastAsia" w:ascii="仿宋_GB2312" w:hAnsi="仿宋_GB2312" w:eastAsia="仿宋_GB2312" w:cs="仿宋_GB2312"/>
          <w:b/>
          <w:color w:val="auto"/>
          <w:sz w:val="24"/>
          <w:highlight w:val="none"/>
        </w:rPr>
        <w:t>成交候选供应商</w:t>
      </w:r>
      <w:r>
        <w:rPr>
          <w:rFonts w:hint="eastAsia" w:ascii="仿宋_GB2312" w:hAnsi="宋体" w:eastAsia="仿宋_GB2312"/>
          <w:b/>
          <w:color w:val="auto"/>
          <w:kern w:val="0"/>
          <w:sz w:val="24"/>
        </w:rPr>
        <w:t>中另行确定</w:t>
      </w:r>
      <w:r>
        <w:rPr>
          <w:rFonts w:hint="eastAsia" w:ascii="仿宋_GB2312" w:hAnsi="仿宋_GB2312" w:eastAsia="仿宋_GB2312" w:cs="仿宋_GB2312"/>
          <w:b/>
          <w:color w:val="auto"/>
          <w:sz w:val="24"/>
          <w:highlight w:val="none"/>
        </w:rPr>
        <w:t>成交供应商</w:t>
      </w:r>
      <w:r>
        <w:rPr>
          <w:rFonts w:hint="eastAsia" w:ascii="仿宋_GB2312" w:hAnsi="宋体" w:eastAsia="仿宋_GB2312"/>
          <w:b/>
          <w:color w:val="auto"/>
          <w:kern w:val="0"/>
          <w:sz w:val="24"/>
        </w:rPr>
        <w:t>或重新开展政府采购活动。</w:t>
      </w:r>
    </w:p>
    <w:p>
      <w:pPr>
        <w:adjustRightInd w:val="0"/>
        <w:spacing w:line="400" w:lineRule="exact"/>
        <w:ind w:firstLine="482" w:firstLineChars="200"/>
        <w:jc w:val="left"/>
        <w:textAlignment w:val="baseline"/>
        <w:rPr>
          <w:rFonts w:hint="eastAsia" w:ascii="仿宋_GB2312" w:hAnsi="宋体" w:eastAsia="仿宋_GB2312"/>
          <w:b/>
          <w:bCs/>
          <w:color w:val="auto"/>
          <w:sz w:val="24"/>
        </w:rPr>
      </w:pPr>
      <w:r>
        <w:rPr>
          <w:rFonts w:hint="eastAsia" w:ascii="仿宋_GB2312" w:hAnsi="宋体" w:eastAsia="仿宋_GB2312"/>
          <w:b/>
          <w:color w:val="auto"/>
          <w:kern w:val="0"/>
          <w:sz w:val="24"/>
        </w:rPr>
        <w:t>在</w:t>
      </w:r>
      <w:r>
        <w:rPr>
          <w:rFonts w:hint="eastAsia" w:ascii="仿宋_GB2312" w:hAnsi="仿宋_GB2312" w:eastAsia="仿宋_GB2312" w:cs="仿宋_GB2312"/>
          <w:b/>
          <w:color w:val="auto"/>
          <w:sz w:val="24"/>
          <w:highlight w:val="none"/>
        </w:rPr>
        <w:t>成交通知书</w:t>
      </w:r>
      <w:r>
        <w:rPr>
          <w:rFonts w:hint="eastAsia" w:ascii="仿宋_GB2312" w:hAnsi="宋体" w:eastAsia="仿宋_GB2312"/>
          <w:b/>
          <w:color w:val="auto"/>
          <w:kern w:val="0"/>
          <w:sz w:val="24"/>
        </w:rPr>
        <w:t>发出前，采购人或采购代理机构应当对</w:t>
      </w:r>
      <w:r>
        <w:rPr>
          <w:rFonts w:hint="eastAsia" w:ascii="仿宋_GB2312" w:hAnsi="仿宋_GB2312" w:eastAsia="仿宋_GB2312" w:cs="仿宋_GB2312"/>
          <w:b/>
          <w:color w:val="auto"/>
          <w:sz w:val="24"/>
          <w:highlight w:val="none"/>
        </w:rPr>
        <w:t>成交供应商</w:t>
      </w:r>
      <w:r>
        <w:rPr>
          <w:rFonts w:hint="eastAsia" w:ascii="仿宋_GB2312" w:hAnsi="宋体" w:eastAsia="仿宋_GB2312"/>
          <w:b/>
          <w:color w:val="auto"/>
          <w:kern w:val="0"/>
          <w:sz w:val="24"/>
        </w:rPr>
        <w:t>信用进行查询，并按照信用信息使用规则处理。当</w:t>
      </w:r>
      <w:r>
        <w:rPr>
          <w:rFonts w:hint="eastAsia" w:ascii="仿宋_GB2312" w:hAnsi="仿宋_GB2312" w:eastAsia="仿宋_GB2312" w:cs="仿宋_GB2312"/>
          <w:b/>
          <w:color w:val="auto"/>
          <w:sz w:val="24"/>
          <w:highlight w:val="none"/>
        </w:rPr>
        <w:t>成交供应商</w:t>
      </w:r>
      <w:r>
        <w:rPr>
          <w:rFonts w:hint="eastAsia" w:ascii="仿宋_GB2312" w:hAnsi="宋体" w:eastAsia="仿宋_GB2312"/>
          <w:b/>
          <w:color w:val="auto"/>
          <w:kern w:val="0"/>
          <w:sz w:val="24"/>
        </w:rPr>
        <w:t>属于信用信息使用规则中应被拒绝参与政府采购活动的情形时，采购人或采购代理机构应将该情况报政府采购监督管理部门，从合格的</w:t>
      </w:r>
      <w:r>
        <w:rPr>
          <w:rFonts w:hint="eastAsia" w:ascii="仿宋_GB2312" w:hAnsi="仿宋_GB2312" w:eastAsia="仿宋_GB2312" w:cs="仿宋_GB2312"/>
          <w:b/>
          <w:color w:val="auto"/>
          <w:sz w:val="24"/>
          <w:highlight w:val="none"/>
        </w:rPr>
        <w:t>成交候选供应商</w:t>
      </w:r>
      <w:r>
        <w:rPr>
          <w:rFonts w:hint="eastAsia" w:ascii="仿宋_GB2312" w:hAnsi="宋体" w:eastAsia="仿宋_GB2312"/>
          <w:b/>
          <w:color w:val="auto"/>
          <w:kern w:val="0"/>
          <w:sz w:val="24"/>
        </w:rPr>
        <w:t>中另行确定</w:t>
      </w:r>
      <w:r>
        <w:rPr>
          <w:rFonts w:hint="eastAsia" w:ascii="仿宋_GB2312" w:hAnsi="仿宋_GB2312" w:eastAsia="仿宋_GB2312" w:cs="仿宋_GB2312"/>
          <w:b/>
          <w:color w:val="auto"/>
          <w:sz w:val="24"/>
          <w:highlight w:val="none"/>
        </w:rPr>
        <w:t>成交供应商</w:t>
      </w:r>
      <w:r>
        <w:rPr>
          <w:rFonts w:hint="eastAsia" w:ascii="仿宋_GB2312" w:hAnsi="宋体" w:eastAsia="仿宋_GB2312"/>
          <w:b/>
          <w:color w:val="auto"/>
          <w:kern w:val="0"/>
          <w:sz w:val="24"/>
        </w:rPr>
        <w:t>或重新开展政府采购活动</w:t>
      </w:r>
      <w:r>
        <w:rPr>
          <w:rFonts w:hint="eastAsia" w:ascii="仿宋_GB2312" w:hAnsi="宋体" w:eastAsia="仿宋_GB2312"/>
          <w:b/>
          <w:bCs/>
          <w:color w:val="auto"/>
          <w:sz w:val="24"/>
        </w:rPr>
        <w:t>。</w:t>
      </w:r>
    </w:p>
    <w:p>
      <w:pPr>
        <w:adjustRightInd w:val="0"/>
        <w:spacing w:line="400" w:lineRule="exact"/>
        <w:ind w:firstLine="482" w:firstLineChars="200"/>
        <w:jc w:val="left"/>
        <w:textAlignment w:val="baseline"/>
        <w:rPr>
          <w:rFonts w:hint="eastAsia" w:ascii="仿宋_GB2312" w:hAnsi="宋体" w:eastAsia="仿宋_GB2312"/>
          <w:b/>
          <w:bCs/>
          <w:color w:val="auto"/>
          <w:sz w:val="24"/>
        </w:rPr>
      </w:pPr>
    </w:p>
    <w:p>
      <w:pPr>
        <w:widowControl/>
        <w:jc w:val="left"/>
        <w:rPr>
          <w:rFonts w:hint="eastAsia" w:ascii="仿宋" w:hAnsi="仿宋" w:eastAsia="仿宋" w:cs="仿宋"/>
          <w:color w:val="auto"/>
          <w:spacing w:val="-1"/>
          <w:sz w:val="24"/>
        </w:rPr>
      </w:pPr>
    </w:p>
    <w:p>
      <w:pPr>
        <w:rPr>
          <w:color w:val="auto"/>
        </w:rPr>
      </w:pPr>
    </w:p>
    <w:p>
      <w:pPr>
        <w:numPr>
          <w:ilvl w:val="0"/>
          <w:numId w:val="0"/>
        </w:numPr>
        <w:rPr>
          <w:color w:val="auto"/>
        </w:rPr>
      </w:pPr>
    </w:p>
    <w:p>
      <w:pPr>
        <w:rPr>
          <w:rFonts w:hint="eastAsia"/>
          <w:color w:val="auto"/>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EB0CF"/>
    <w:multiLevelType w:val="singleLevel"/>
    <w:tmpl w:val="CB1EB0CF"/>
    <w:lvl w:ilvl="0" w:tentative="0">
      <w:start w:val="1"/>
      <w:numFmt w:val="decimal"/>
      <w:lvlText w:val="%1."/>
      <w:lvlJc w:val="left"/>
      <w:pPr>
        <w:tabs>
          <w:tab w:val="left" w:pos="312"/>
        </w:tabs>
      </w:pPr>
    </w:lvl>
  </w:abstractNum>
  <w:abstractNum w:abstractNumId="1">
    <w:nsid w:val="E7B9D2A4"/>
    <w:multiLevelType w:val="singleLevel"/>
    <w:tmpl w:val="E7B9D2A4"/>
    <w:lvl w:ilvl="0" w:tentative="0">
      <w:start w:val="1"/>
      <w:numFmt w:val="decimal"/>
      <w:lvlText w:val="%1."/>
      <w:lvlJc w:val="left"/>
      <w:pPr>
        <w:tabs>
          <w:tab w:val="left" w:pos="312"/>
        </w:tabs>
      </w:pPr>
    </w:lvl>
  </w:abstractNum>
  <w:abstractNum w:abstractNumId="2">
    <w:nsid w:val="EFEF5595"/>
    <w:multiLevelType w:val="singleLevel"/>
    <w:tmpl w:val="EFEF5595"/>
    <w:lvl w:ilvl="0" w:tentative="0">
      <w:start w:val="1"/>
      <w:numFmt w:val="decimal"/>
      <w:lvlText w:val="%1."/>
      <w:lvlJc w:val="left"/>
      <w:pPr>
        <w:tabs>
          <w:tab w:val="left" w:pos="312"/>
        </w:tabs>
      </w:pPr>
    </w:lvl>
  </w:abstractNum>
  <w:abstractNum w:abstractNumId="3">
    <w:nsid w:val="53FE3EB3"/>
    <w:multiLevelType w:val="singleLevel"/>
    <w:tmpl w:val="53FE3EB3"/>
    <w:lvl w:ilvl="0" w:tentative="0">
      <w:start w:val="1"/>
      <w:numFmt w:val="decimal"/>
      <w:suff w:val="nothing"/>
      <w:lvlText w:val="（%1）"/>
      <w:lvlJc w:val="left"/>
    </w:lvl>
  </w:abstractNum>
  <w:abstractNum w:abstractNumId="4">
    <w:nsid w:val="77FD331B"/>
    <w:multiLevelType w:val="singleLevel"/>
    <w:tmpl w:val="77FD331B"/>
    <w:lvl w:ilvl="0" w:tentative="0">
      <w:start w:val="1"/>
      <w:numFmt w:val="decimal"/>
      <w:suff w:val="nothing"/>
      <w:lvlText w:val="（%1）"/>
      <w:lvlJc w:val="left"/>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65064"/>
    <w:rsid w:val="043849E7"/>
    <w:rsid w:val="067630F5"/>
    <w:rsid w:val="0BA624A7"/>
    <w:rsid w:val="0BFF9DED"/>
    <w:rsid w:val="0C033FD3"/>
    <w:rsid w:val="0DC53FB5"/>
    <w:rsid w:val="0DDF0A33"/>
    <w:rsid w:val="15A043C5"/>
    <w:rsid w:val="1BE97746"/>
    <w:rsid w:val="1C232751"/>
    <w:rsid w:val="1CEFEB54"/>
    <w:rsid w:val="1D7FD034"/>
    <w:rsid w:val="1ED052DF"/>
    <w:rsid w:val="1FAF6FFA"/>
    <w:rsid w:val="231F2E1D"/>
    <w:rsid w:val="2B667FCA"/>
    <w:rsid w:val="2BBF566A"/>
    <w:rsid w:val="2D6A2DA5"/>
    <w:rsid w:val="2E2C1B65"/>
    <w:rsid w:val="2F7F7057"/>
    <w:rsid w:val="315A06C8"/>
    <w:rsid w:val="31DBC95A"/>
    <w:rsid w:val="327B7297"/>
    <w:rsid w:val="335C6A4C"/>
    <w:rsid w:val="33EF1967"/>
    <w:rsid w:val="34BB3C2A"/>
    <w:rsid w:val="3579696B"/>
    <w:rsid w:val="382A7741"/>
    <w:rsid w:val="3AF61896"/>
    <w:rsid w:val="3B9F7925"/>
    <w:rsid w:val="3CB96F0F"/>
    <w:rsid w:val="3CEE71DD"/>
    <w:rsid w:val="3E4964B9"/>
    <w:rsid w:val="3EA722E0"/>
    <w:rsid w:val="3EDFCAD7"/>
    <w:rsid w:val="3F6F2EDC"/>
    <w:rsid w:val="3F75EBCA"/>
    <w:rsid w:val="3FAD3CC8"/>
    <w:rsid w:val="3FC470FB"/>
    <w:rsid w:val="3FFFC22F"/>
    <w:rsid w:val="44BEF328"/>
    <w:rsid w:val="46B1183A"/>
    <w:rsid w:val="48015026"/>
    <w:rsid w:val="49061425"/>
    <w:rsid w:val="4A5D924D"/>
    <w:rsid w:val="4BDAE6F4"/>
    <w:rsid w:val="4E8866B7"/>
    <w:rsid w:val="4EFFF423"/>
    <w:rsid w:val="4F7B4C89"/>
    <w:rsid w:val="53035F10"/>
    <w:rsid w:val="53266E38"/>
    <w:rsid w:val="538D2967"/>
    <w:rsid w:val="55517A88"/>
    <w:rsid w:val="57BCCB64"/>
    <w:rsid w:val="59EC0852"/>
    <w:rsid w:val="5CEFC985"/>
    <w:rsid w:val="5DFDD8AD"/>
    <w:rsid w:val="5EFF1A3D"/>
    <w:rsid w:val="5FD3C1F1"/>
    <w:rsid w:val="60CD32F1"/>
    <w:rsid w:val="614B322B"/>
    <w:rsid w:val="63F65E13"/>
    <w:rsid w:val="652E22D7"/>
    <w:rsid w:val="66705362"/>
    <w:rsid w:val="67EFD3E3"/>
    <w:rsid w:val="69A21744"/>
    <w:rsid w:val="6B7D133E"/>
    <w:rsid w:val="6D78D6B0"/>
    <w:rsid w:val="6DAFE705"/>
    <w:rsid w:val="6DBE3DE4"/>
    <w:rsid w:val="6FFF2400"/>
    <w:rsid w:val="73F3F06F"/>
    <w:rsid w:val="73FF9A8A"/>
    <w:rsid w:val="76EBCB12"/>
    <w:rsid w:val="76FC13F0"/>
    <w:rsid w:val="775B1A33"/>
    <w:rsid w:val="7AFFF04F"/>
    <w:rsid w:val="7C6D2702"/>
    <w:rsid w:val="7DBD3D77"/>
    <w:rsid w:val="7DBD7062"/>
    <w:rsid w:val="7DD38F28"/>
    <w:rsid w:val="7DFC94FD"/>
    <w:rsid w:val="7DFCE0E1"/>
    <w:rsid w:val="7DFEFD75"/>
    <w:rsid w:val="7EBDFDBE"/>
    <w:rsid w:val="7F7FAE52"/>
    <w:rsid w:val="7F9DCB57"/>
    <w:rsid w:val="7FBF5E5B"/>
    <w:rsid w:val="7FDB93CA"/>
    <w:rsid w:val="7FE77329"/>
    <w:rsid w:val="7FEFCE32"/>
    <w:rsid w:val="7FF5D95D"/>
    <w:rsid w:val="93EFEA88"/>
    <w:rsid w:val="9AFB39D9"/>
    <w:rsid w:val="9BDB77F5"/>
    <w:rsid w:val="AD7F7208"/>
    <w:rsid w:val="B5EC8C88"/>
    <w:rsid w:val="B7BF1502"/>
    <w:rsid w:val="BBFF5AA8"/>
    <w:rsid w:val="BBFF98F4"/>
    <w:rsid w:val="BD7541F6"/>
    <w:rsid w:val="BDBF6514"/>
    <w:rsid w:val="BDDEEEC3"/>
    <w:rsid w:val="BF7968F3"/>
    <w:rsid w:val="BFBB16B6"/>
    <w:rsid w:val="BFFAB840"/>
    <w:rsid w:val="CBADB083"/>
    <w:rsid w:val="CFFEC2F6"/>
    <w:rsid w:val="D1EA0523"/>
    <w:rsid w:val="DADF9EE6"/>
    <w:rsid w:val="DC79909A"/>
    <w:rsid w:val="DEDD98EE"/>
    <w:rsid w:val="DEDF3619"/>
    <w:rsid w:val="DF3FC131"/>
    <w:rsid w:val="DF7F08C9"/>
    <w:rsid w:val="DFFF67CB"/>
    <w:rsid w:val="ED695971"/>
    <w:rsid w:val="F0DF4111"/>
    <w:rsid w:val="F47E0972"/>
    <w:rsid w:val="F57A820D"/>
    <w:rsid w:val="F77D51D0"/>
    <w:rsid w:val="F7D38ED5"/>
    <w:rsid w:val="F7E6AB9C"/>
    <w:rsid w:val="F7EABC9E"/>
    <w:rsid w:val="F7FB9E4B"/>
    <w:rsid w:val="F8FF44BB"/>
    <w:rsid w:val="F97E4E99"/>
    <w:rsid w:val="F9CE004B"/>
    <w:rsid w:val="FB763A36"/>
    <w:rsid w:val="FBB41730"/>
    <w:rsid w:val="FBDBE03E"/>
    <w:rsid w:val="FBFD7DBA"/>
    <w:rsid w:val="FD74644A"/>
    <w:rsid w:val="FDBE73D2"/>
    <w:rsid w:val="FDFA7447"/>
    <w:rsid w:val="FEBFFE77"/>
    <w:rsid w:val="FEFEBB1B"/>
    <w:rsid w:val="FEFF650F"/>
    <w:rsid w:val="FF6F1493"/>
    <w:rsid w:val="FF7DE928"/>
    <w:rsid w:val="FF7FEE2D"/>
    <w:rsid w:val="FF9FF5FD"/>
    <w:rsid w:val="FFB67718"/>
    <w:rsid w:val="FFD5674A"/>
    <w:rsid w:val="FFD65CB1"/>
    <w:rsid w:val="FFE7ADA1"/>
    <w:rsid w:val="FFFE7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880" w:firstLineChars="200"/>
      <w:outlineLvl w:val="0"/>
    </w:pPr>
    <w:rPr>
      <w:rFonts w:eastAsia="黑体"/>
      <w:kern w:val="44"/>
    </w:rPr>
  </w:style>
  <w:style w:type="paragraph" w:styleId="4">
    <w:name w:val="heading 2"/>
    <w:basedOn w:val="1"/>
    <w:next w:val="1"/>
    <w:semiHidden/>
    <w:unhideWhenUsed/>
    <w:qFormat/>
    <w:uiPriority w:val="0"/>
    <w:pPr>
      <w:keepNext/>
      <w:keepLines/>
      <w:spacing w:beforeLines="0" w:beforeAutospacing="0" w:afterLines="0" w:afterAutospacing="0" w:line="240" w:lineRule="auto"/>
      <w:ind w:firstLine="880" w:firstLineChars="200"/>
      <w:outlineLvl w:val="1"/>
    </w:pPr>
    <w:rPr>
      <w:rFonts w:ascii="Times New Roman" w:hAnsi="Times New Roman" w:eastAsia="楷体_GB2312"/>
    </w:rPr>
  </w:style>
  <w:style w:type="paragraph" w:styleId="5">
    <w:name w:val="heading 3"/>
    <w:basedOn w:val="1"/>
    <w:next w:val="1"/>
    <w:semiHidden/>
    <w:unhideWhenUsed/>
    <w:qFormat/>
    <w:uiPriority w:val="0"/>
    <w:pPr>
      <w:keepNext/>
      <w:keepLines/>
      <w:spacing w:beforeLines="0" w:beforeAutospacing="0" w:afterLines="0" w:afterAutospacing="0" w:line="240" w:lineRule="auto"/>
      <w:ind w:firstLine="880" w:firstLineChars="200"/>
      <w:outlineLvl w:val="2"/>
    </w:pPr>
    <w:rPr>
      <w:b/>
    </w:rPr>
  </w:style>
  <w:style w:type="paragraph" w:styleId="6">
    <w:name w:val="heading 4"/>
    <w:basedOn w:val="1"/>
    <w:next w:val="1"/>
    <w:semiHidden/>
    <w:unhideWhenUsed/>
    <w:qFormat/>
    <w:uiPriority w:val="0"/>
    <w:pPr>
      <w:keepNext/>
      <w:keepLines/>
      <w:spacing w:beforeLines="0" w:beforeAutospacing="0" w:afterLines="0" w:afterAutospacing="0" w:line="240" w:lineRule="auto"/>
      <w:outlineLvl w:val="3"/>
    </w:pPr>
    <w:rPr>
      <w:rFonts w:ascii="Times New Roman" w:hAnsi="Times New Roman" w:eastAsia="仿宋_GB2312"/>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kern w:val="0"/>
      <w:sz w:val="24"/>
    </w:rPr>
  </w:style>
  <w:style w:type="paragraph" w:styleId="7">
    <w:name w:val="Normal Indent"/>
    <w:basedOn w:val="1"/>
    <w:qFormat/>
    <w:uiPriority w:val="0"/>
    <w:pPr>
      <w:spacing w:line="240" w:lineRule="atLeast"/>
      <w:ind w:left="900" w:hanging="900"/>
      <w:jc w:val="left"/>
    </w:pPr>
    <w:rPr>
      <w:rFonts w:ascii="宋体"/>
      <w:snapToGrid w:val="0"/>
      <w:kern w:val="0"/>
      <w:sz w:val="20"/>
      <w:szCs w:val="20"/>
    </w:r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Indent 3"/>
    <w:basedOn w:val="1"/>
    <w:qFormat/>
    <w:uiPriority w:val="0"/>
    <w:pPr>
      <w:spacing w:after="120"/>
      <w:ind w:left="420" w:leftChars="200"/>
    </w:pPr>
    <w:rPr>
      <w:sz w:val="16"/>
      <w:szCs w:val="16"/>
    </w:rPr>
  </w:style>
  <w:style w:type="paragraph" w:styleId="1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6">
    <w:name w:val="List Paragraph"/>
    <w:basedOn w:val="1"/>
    <w:qFormat/>
    <w:uiPriority w:val="34"/>
    <w:pPr>
      <w:ind w:firstLine="420" w:firstLineChars="200"/>
    </w:pPr>
  </w:style>
  <w:style w:type="table" w:customStyle="1" w:styleId="17">
    <w:name w:val="Normal Table_file_322_file_615_file_285"/>
    <w:semiHidden/>
    <w:qFormat/>
    <w:uiPriority w:val="0"/>
    <w:tblPr>
      <w:tblCellMar>
        <w:top w:w="0" w:type="dxa"/>
        <w:left w:w="108" w:type="dxa"/>
        <w:bottom w:w="0" w:type="dxa"/>
        <w:right w:w="108" w:type="dxa"/>
      </w:tblCellMar>
    </w:tblPr>
  </w:style>
  <w:style w:type="paragraph" w:customStyle="1" w:styleId="18">
    <w:name w:val="Block Text_file_1697"/>
    <w:basedOn w:val="19"/>
    <w:qFormat/>
    <w:uiPriority w:val="0"/>
    <w:pPr>
      <w:adjustRightInd w:val="0"/>
      <w:ind w:left="420" w:right="33"/>
      <w:jc w:val="left"/>
      <w:textAlignment w:val="baseline"/>
    </w:pPr>
    <w:rPr>
      <w:kern w:val="0"/>
      <w:sz w:val="24"/>
      <w:szCs w:val="20"/>
    </w:rPr>
  </w:style>
  <w:style w:type="paragraph" w:customStyle="1" w:styleId="19">
    <w:name w:val="Normal_file_16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Normal (Web)_file_1708"/>
    <w:basedOn w:val="21"/>
    <w:semiHidden/>
    <w:unhideWhenUsed/>
    <w:qFormat/>
    <w:uiPriority w:val="99"/>
  </w:style>
  <w:style w:type="paragraph" w:customStyle="1" w:styleId="21">
    <w:name w:val="Normal_file_170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2">
    <w:name w:val="Strong_file_1708"/>
    <w:basedOn w:val="23"/>
    <w:qFormat/>
    <w:uiPriority w:val="22"/>
    <w:rPr>
      <w:b/>
      <w:bCs/>
    </w:rPr>
  </w:style>
  <w:style w:type="character" w:customStyle="1" w:styleId="23">
    <w:name w:val="Default Paragraph Font_file_1708"/>
    <w:semiHidden/>
    <w:unhideWhenUsed/>
    <w:qFormat/>
    <w:uiPriority w:val="1"/>
  </w:style>
  <w:style w:type="paragraph" w:customStyle="1" w:styleId="24">
    <w:name w:val="Normal (Web)_file_628"/>
    <w:basedOn w:val="25"/>
    <w:semiHidden/>
    <w:unhideWhenUsed/>
    <w:qFormat/>
    <w:uiPriority w:val="99"/>
  </w:style>
  <w:style w:type="paragraph" w:customStyle="1" w:styleId="25">
    <w:name w:val="Normal_file_6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
    <w:name w:val="Normal (Web)_file_1709"/>
    <w:basedOn w:val="27"/>
    <w:semiHidden/>
    <w:unhideWhenUsed/>
    <w:qFormat/>
    <w:uiPriority w:val="99"/>
  </w:style>
  <w:style w:type="paragraph" w:customStyle="1" w:styleId="27">
    <w:name w:val="Normal_file_17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
    <w:name w:val="Normal (Web)_file_1250"/>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customStyle="1" w:styleId="29">
    <w:name w:val="Normal Table_file_618"/>
    <w:semiHidden/>
    <w:qFormat/>
    <w:uiPriority w:val="0"/>
    <w:tblPr>
      <w:tblCellMar>
        <w:top w:w="0" w:type="dxa"/>
        <w:left w:w="108" w:type="dxa"/>
        <w:bottom w:w="0" w:type="dxa"/>
        <w:right w:w="108" w:type="dxa"/>
      </w:tblCellMar>
    </w:tblPr>
  </w:style>
  <w:style w:type="paragraph" w:customStyle="1" w:styleId="30">
    <w:name w:val="Plain Text_file_618"/>
    <w:basedOn w:val="31"/>
    <w:next w:val="3"/>
    <w:qFormat/>
    <w:uiPriority w:val="0"/>
    <w:rPr>
      <w:rFonts w:ascii="宋体" w:hAnsi="Courier New" w:cs="Courier New"/>
      <w:szCs w:val="21"/>
    </w:rPr>
  </w:style>
  <w:style w:type="paragraph" w:customStyle="1" w:styleId="31">
    <w:name w:val="Normal_file_618"/>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Plain Text_file_372_file_669_file_674_file_222"/>
    <w:basedOn w:val="33"/>
    <w:qFormat/>
    <w:uiPriority w:val="0"/>
    <w:rPr>
      <w:rFonts w:ascii="宋体" w:hAnsi="Courier New" w:cs="Courier New"/>
      <w:szCs w:val="21"/>
    </w:rPr>
  </w:style>
  <w:style w:type="paragraph" w:customStyle="1" w:styleId="33">
    <w:name w:val="Normal_file_372_file_669_file_674_file_222"/>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4">
    <w:name w:val="Normal Table_file_290"/>
    <w:semiHidden/>
    <w:qFormat/>
    <w:uiPriority w:val="0"/>
    <w:tblPr>
      <w:tblCellMar>
        <w:top w:w="0" w:type="dxa"/>
        <w:left w:w="108" w:type="dxa"/>
        <w:bottom w:w="0" w:type="dxa"/>
        <w:right w:w="108" w:type="dxa"/>
      </w:tblCellMar>
    </w:tblPr>
  </w:style>
  <w:style w:type="paragraph" w:customStyle="1" w:styleId="35">
    <w:name w:val="Plain Text_file_290"/>
    <w:basedOn w:val="36"/>
    <w:next w:val="3"/>
    <w:qFormat/>
    <w:uiPriority w:val="0"/>
    <w:rPr>
      <w:rFonts w:ascii="宋体" w:hAnsi="Courier New" w:cs="Courier New"/>
      <w:szCs w:val="21"/>
    </w:rPr>
  </w:style>
  <w:style w:type="paragraph" w:customStyle="1" w:styleId="36">
    <w:name w:val="Normal_file_290"/>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7">
    <w:name w:val="Normal Table_file_103_file_2409"/>
    <w:semiHidden/>
    <w:qFormat/>
    <w:uiPriority w:val="0"/>
    <w:tblPr>
      <w:tblCellMar>
        <w:top w:w="0" w:type="dxa"/>
        <w:left w:w="108" w:type="dxa"/>
        <w:bottom w:w="0" w:type="dxa"/>
        <w:right w:w="108" w:type="dxa"/>
      </w:tblCellMar>
    </w:tblPr>
  </w:style>
  <w:style w:type="table" w:customStyle="1" w:styleId="38">
    <w:name w:val="Normal Table_file_457_file_528_file_112_file_2409"/>
    <w:semiHidden/>
    <w:qFormat/>
    <w:uiPriority w:val="0"/>
    <w:tblPr>
      <w:tblCellMar>
        <w:top w:w="0" w:type="dxa"/>
        <w:left w:w="108" w:type="dxa"/>
        <w:bottom w:w="0" w:type="dxa"/>
        <w:right w:w="108" w:type="dxa"/>
      </w:tblCellMar>
    </w:tblPr>
  </w:style>
  <w:style w:type="paragraph" w:customStyle="1" w:styleId="39">
    <w:name w:val="Plain Text_file_1358"/>
    <w:basedOn w:val="40"/>
    <w:qFormat/>
    <w:uiPriority w:val="0"/>
    <w:rPr>
      <w:rFonts w:ascii="宋体" w:hAnsi="Courier New" w:cs="Courier New"/>
      <w:szCs w:val="21"/>
    </w:rPr>
  </w:style>
  <w:style w:type="paragraph" w:customStyle="1" w:styleId="40">
    <w:name w:val="Normal_file_1358"/>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1">
    <w:name w:val="Normal Table_file_1358"/>
    <w:semiHidden/>
    <w:unhideWhenUsed/>
    <w:qFormat/>
    <w:uiPriority w:val="99"/>
    <w:tblPr>
      <w:tblCellMar>
        <w:top w:w="0" w:type="dxa"/>
        <w:left w:w="108" w:type="dxa"/>
        <w:bottom w:w="0" w:type="dxa"/>
        <w:right w:w="108" w:type="dxa"/>
      </w:tblCellMar>
    </w:tblPr>
  </w:style>
  <w:style w:type="character" w:customStyle="1" w:styleId="42">
    <w:name w:val="font91"/>
    <w:basedOn w:val="15"/>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2023-03-21T17:29:00Z</dcterms:created>
  <dc:creator>Administrator</dc:creator>
  <cp:lastModifiedBy>Administrator</cp:lastModifiedBy>
  <cp:lastPrinted>2024-12-01T09:08:00Z</cp:lastPrinted>
  <dcterms:modified xsi:type="dcterms:W3CDTF">2026-05-22T08:58:16Z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95D3EB2813F04E4988851D6EBECB6A5F</vt:lpwstr>
  </property>
</Properties>
</file>