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hint="eastAsia" w:ascii="宋体" w:hAnsi="宋体"/>
          <w:color w:val="auto"/>
          <w:sz w:val="32"/>
          <w:szCs w:val="32"/>
        </w:rPr>
      </w:pPr>
      <w:bookmarkStart w:id="0" w:name="_Toc13541"/>
      <w:r>
        <w:rPr>
          <w:rFonts w:hint="eastAsia" w:ascii="宋体" w:hAnsi="宋体"/>
          <w:color w:val="auto"/>
          <w:sz w:val="32"/>
          <w:szCs w:val="32"/>
        </w:rPr>
        <w:t>采购需求</w:t>
      </w:r>
      <w:bookmarkEnd w:id="0"/>
    </w:p>
    <w:p>
      <w:pPr>
        <w:spacing w:line="276" w:lineRule="auto"/>
        <w:ind w:right="-502" w:rightChars="-157" w:firstLine="482" w:firstLineChars="200"/>
        <w:rPr>
          <w:rFonts w:ascii="仿宋_GB2312" w:eastAsia="仿宋_GB2312"/>
          <w:b/>
          <w:bCs/>
          <w:color w:val="auto"/>
          <w:sz w:val="24"/>
        </w:rPr>
      </w:pPr>
      <w:bookmarkStart w:id="1" w:name="_Hlk50569056"/>
      <w:r>
        <w:rPr>
          <w:rFonts w:hint="eastAsia" w:ascii="仿宋_GB2312" w:eastAsia="仿宋_GB2312"/>
          <w:b/>
          <w:bCs/>
          <w:color w:val="auto"/>
          <w:sz w:val="24"/>
        </w:rPr>
        <w:t>说明：</w:t>
      </w:r>
    </w:p>
    <w:bookmarkEnd w:id="1"/>
    <w:p>
      <w:pPr>
        <w:spacing w:line="380" w:lineRule="exact"/>
        <w:ind w:right="-502" w:rightChars="-157" w:firstLine="482" w:firstLineChars="200"/>
        <w:rPr>
          <w:rFonts w:ascii="仿宋_GB2312" w:eastAsia="仿宋_GB2312"/>
          <w:b/>
          <w:bCs/>
          <w:color w:val="auto"/>
          <w:sz w:val="24"/>
        </w:rPr>
      </w:pPr>
      <w:bookmarkStart w:id="2" w:name="_Hlk93675025"/>
      <w:r>
        <w:rPr>
          <w:rFonts w:hint="eastAsia" w:ascii="仿宋_GB2312" w:eastAsia="仿宋_GB2312"/>
          <w:b/>
          <w:bCs/>
          <w:color w:val="auto"/>
          <w:sz w:val="24"/>
        </w:rPr>
        <w:t>（一）本一览表中的品牌、型号仅起参考作用，</w:t>
      </w:r>
      <w:r>
        <w:rPr>
          <w:rFonts w:hint="eastAsia" w:ascii="仿宋_GB2312"/>
          <w:b/>
          <w:bCs/>
          <w:color w:val="auto"/>
          <w:sz w:val="24"/>
          <w:lang w:eastAsia="zh-CN"/>
        </w:rPr>
        <w:t>供应商</w:t>
      </w:r>
      <w:r>
        <w:rPr>
          <w:rFonts w:hint="eastAsia" w:ascii="仿宋_GB2312" w:eastAsia="仿宋_GB2312"/>
          <w:b/>
          <w:bCs/>
          <w:color w:val="auto"/>
          <w:sz w:val="24"/>
        </w:rPr>
        <w:t>可选用其他品牌型号替代，但这些替代的产品要实质上满足或优于参考品牌、型号及其技术参数性能（配置）要求。</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（二）本一览表中参考品牌、型号及技术参数性能（配置）不明确或有误的，或</w:t>
      </w:r>
      <w:r>
        <w:rPr>
          <w:rFonts w:hint="eastAsia" w:ascii="仿宋_GB2312"/>
          <w:b/>
          <w:bCs/>
          <w:color w:val="auto"/>
          <w:sz w:val="24"/>
          <w:lang w:eastAsia="zh-CN"/>
        </w:rPr>
        <w:t>供应商</w:t>
      </w:r>
      <w:r>
        <w:rPr>
          <w:rFonts w:hint="eastAsia" w:ascii="仿宋_GB2312" w:eastAsia="仿宋_GB2312"/>
          <w:b/>
          <w:bCs/>
          <w:color w:val="auto"/>
          <w:sz w:val="24"/>
        </w:rPr>
        <w:t>选用其他品牌型号替代的，请说明品牌型号和详细、正确的技术参数性能（配置）同时填写投标报价明细表和技术响应表。</w:t>
      </w:r>
    </w:p>
    <w:p>
      <w:pPr>
        <w:spacing w:line="380" w:lineRule="exact"/>
        <w:ind w:right="-502" w:rightChars="-157" w:firstLine="482" w:firstLineChars="200"/>
        <w:rPr>
          <w:rFonts w:ascii="仿宋_GB2312" w:eastAsia="仿宋_GB2312"/>
          <w:b/>
          <w:bCs/>
          <w:color w:val="auto"/>
          <w:sz w:val="24"/>
        </w:rPr>
      </w:pPr>
      <w:r>
        <w:rPr>
          <w:rFonts w:ascii="仿宋_GB2312" w:eastAsia="仿宋_GB2312"/>
          <w:b/>
          <w:bCs/>
          <w:color w:val="auto"/>
          <w:sz w:val="24"/>
        </w:rPr>
        <w:t>（三）标记“★”符号的为实质性响应内容，该内容仅限于“第二章 采购需求”，评审时</w:t>
      </w:r>
      <w:r>
        <w:rPr>
          <w:rFonts w:hint="eastAsia" w:ascii="仿宋_GB2312"/>
          <w:b/>
          <w:bCs/>
          <w:color w:val="auto"/>
          <w:sz w:val="24"/>
          <w:lang w:eastAsia="zh-CN"/>
        </w:rPr>
        <w:t>供应商</w:t>
      </w:r>
      <w:r>
        <w:rPr>
          <w:rFonts w:ascii="仿宋_GB2312" w:eastAsia="仿宋_GB2312"/>
          <w:b/>
          <w:bCs/>
          <w:color w:val="auto"/>
          <w:sz w:val="24"/>
        </w:rPr>
        <w:t>的响应内容发生负偏离一项以上的，视为投标无效。关于“项数”的规定，凡标有最低一级序号的指标项即为一项技术条款，无论是否隶属于上一级编号</w:t>
      </w:r>
      <w:r>
        <w:rPr>
          <w:rFonts w:hint="eastAsia" w:ascii="仿宋_GB2312" w:eastAsia="仿宋_GB2312"/>
          <w:b/>
          <w:bCs/>
          <w:color w:val="auto"/>
          <w:sz w:val="24"/>
        </w:rPr>
        <w:t>（有特殊情况说明的除外）</w:t>
      </w:r>
      <w:r>
        <w:rPr>
          <w:rFonts w:ascii="仿宋_GB2312" w:eastAsia="仿宋_GB2312"/>
          <w:b/>
          <w:bCs/>
          <w:color w:val="auto"/>
          <w:sz w:val="24"/>
        </w:rPr>
        <w:t>。</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w:t>
      </w:r>
      <w:r>
        <w:rPr>
          <w:rFonts w:hint="eastAsia" w:ascii="仿宋_GB2312"/>
          <w:b/>
          <w:bCs/>
          <w:color w:val="auto"/>
          <w:sz w:val="24"/>
          <w:lang w:eastAsia="zh-CN"/>
        </w:rPr>
        <w:t>供应商</w:t>
      </w:r>
      <w:r>
        <w:rPr>
          <w:rFonts w:hint="eastAsia" w:ascii="仿宋_GB2312" w:eastAsia="仿宋_GB2312"/>
          <w:b/>
          <w:bCs/>
          <w:color w:val="auto"/>
          <w:sz w:val="24"/>
        </w:rPr>
        <w:t>提供虚假材料、串通等违法违规行为的，要及时向采购人或采购代理机构报告。</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（五）提供相同品牌产品且通过资格审查、符合性审查的不同</w:t>
      </w:r>
      <w:r>
        <w:rPr>
          <w:rFonts w:hint="eastAsia" w:ascii="仿宋_GB2312"/>
          <w:b/>
          <w:bCs/>
          <w:color w:val="auto"/>
          <w:sz w:val="24"/>
          <w:lang w:eastAsia="zh-CN"/>
        </w:rPr>
        <w:t>供应商</w:t>
      </w:r>
      <w:r>
        <w:rPr>
          <w:rFonts w:hint="eastAsia" w:ascii="仿宋_GB2312" w:eastAsia="仿宋_GB2312"/>
          <w:b/>
          <w:bCs/>
          <w:color w:val="auto"/>
          <w:sz w:val="24"/>
        </w:rPr>
        <w:t>参加同一合同项下的投标，按一家</w:t>
      </w:r>
      <w:r>
        <w:rPr>
          <w:rFonts w:hint="eastAsia" w:ascii="仿宋_GB2312"/>
          <w:b/>
          <w:bCs/>
          <w:color w:val="auto"/>
          <w:sz w:val="24"/>
          <w:lang w:eastAsia="zh-CN"/>
        </w:rPr>
        <w:t>供应商</w:t>
      </w:r>
      <w:r>
        <w:rPr>
          <w:rFonts w:hint="eastAsia" w:ascii="仿宋_GB2312" w:eastAsia="仿宋_GB2312"/>
          <w:b/>
          <w:bCs/>
          <w:color w:val="auto"/>
          <w:sz w:val="24"/>
        </w:rPr>
        <w:t>计算，评审后得分最高的同品牌</w:t>
      </w:r>
      <w:r>
        <w:rPr>
          <w:rFonts w:hint="eastAsia" w:ascii="仿宋_GB2312"/>
          <w:b/>
          <w:bCs/>
          <w:color w:val="auto"/>
          <w:sz w:val="24"/>
          <w:lang w:eastAsia="zh-CN"/>
        </w:rPr>
        <w:t>供应商</w:t>
      </w:r>
      <w:r>
        <w:rPr>
          <w:rFonts w:hint="eastAsia" w:ascii="仿宋_GB2312" w:eastAsia="仿宋_GB2312"/>
          <w:b/>
          <w:bCs/>
          <w:color w:val="auto"/>
          <w:sz w:val="24"/>
        </w:rPr>
        <w:t>获得中标人推荐资格；评审得分相同的，由采购人或者采购人委托评标委员会按照</w:t>
      </w:r>
      <w:r>
        <w:rPr>
          <w:rFonts w:hint="eastAsia" w:ascii="仿宋_GB2312"/>
          <w:b/>
          <w:bCs/>
          <w:color w:val="auto"/>
          <w:sz w:val="24"/>
          <w:lang w:eastAsia="zh-CN"/>
        </w:rPr>
        <w:t>采购</w:t>
      </w:r>
      <w:r>
        <w:rPr>
          <w:rFonts w:hint="eastAsia" w:ascii="仿宋_GB2312" w:eastAsia="仿宋_GB2312"/>
          <w:b/>
          <w:bCs/>
          <w:color w:val="auto"/>
          <w:sz w:val="24"/>
        </w:rPr>
        <w:t>文件规定的方式确定一个</w:t>
      </w:r>
      <w:r>
        <w:rPr>
          <w:rFonts w:hint="eastAsia" w:ascii="仿宋_GB2312"/>
          <w:b/>
          <w:bCs/>
          <w:color w:val="auto"/>
          <w:sz w:val="24"/>
          <w:lang w:eastAsia="zh-CN"/>
        </w:rPr>
        <w:t>供应商</w:t>
      </w:r>
      <w:r>
        <w:rPr>
          <w:rFonts w:hint="eastAsia" w:ascii="仿宋_GB2312" w:eastAsia="仿宋_GB2312"/>
          <w:b/>
          <w:bCs/>
          <w:color w:val="auto"/>
          <w:sz w:val="24"/>
        </w:rPr>
        <w:t>获得中标人推荐资格，</w:t>
      </w:r>
      <w:r>
        <w:rPr>
          <w:rFonts w:hint="eastAsia" w:ascii="仿宋_GB2312"/>
          <w:b/>
          <w:bCs/>
          <w:color w:val="auto"/>
          <w:sz w:val="24"/>
          <w:lang w:eastAsia="zh-CN"/>
        </w:rPr>
        <w:t>采购</w:t>
      </w:r>
      <w:r>
        <w:rPr>
          <w:rFonts w:hint="eastAsia" w:ascii="仿宋_GB2312" w:eastAsia="仿宋_GB2312"/>
          <w:b/>
          <w:bCs/>
          <w:color w:val="auto"/>
          <w:sz w:val="24"/>
        </w:rPr>
        <w:t>文件未规定的采取随机抽取方式确定，其他同品牌</w:t>
      </w:r>
      <w:r>
        <w:rPr>
          <w:rFonts w:hint="eastAsia" w:ascii="仿宋_GB2312"/>
          <w:b/>
          <w:bCs/>
          <w:color w:val="auto"/>
          <w:sz w:val="24"/>
          <w:lang w:eastAsia="zh-CN"/>
        </w:rPr>
        <w:t>供应商</w:t>
      </w:r>
      <w:r>
        <w:rPr>
          <w:rFonts w:hint="eastAsia" w:ascii="仿宋_GB2312" w:eastAsia="仿宋_GB2312"/>
          <w:b/>
          <w:bCs/>
          <w:color w:val="auto"/>
          <w:sz w:val="24"/>
        </w:rPr>
        <w:t>不作为中标候选人；</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非单一产品采购项目中，多家</w:t>
      </w:r>
      <w:r>
        <w:rPr>
          <w:rFonts w:hint="eastAsia" w:ascii="仿宋_GB2312"/>
          <w:b/>
          <w:bCs/>
          <w:color w:val="auto"/>
          <w:sz w:val="24"/>
          <w:lang w:eastAsia="zh-CN"/>
        </w:rPr>
        <w:t>供应商</w:t>
      </w:r>
      <w:r>
        <w:rPr>
          <w:rFonts w:hint="eastAsia" w:ascii="仿宋_GB2312" w:eastAsia="仿宋_GB2312"/>
          <w:b/>
          <w:bCs/>
          <w:color w:val="auto"/>
          <w:sz w:val="24"/>
        </w:rPr>
        <w:t>提供的核心产品品牌相同的，视为提供相同品牌产品，核心产品的名称在</w:t>
      </w:r>
      <w:r>
        <w:rPr>
          <w:rFonts w:hint="eastAsia" w:ascii="仿宋_GB2312"/>
          <w:b/>
          <w:bCs/>
          <w:color w:val="auto"/>
          <w:sz w:val="24"/>
          <w:lang w:eastAsia="zh-CN"/>
        </w:rPr>
        <w:t>采购</w:t>
      </w:r>
      <w:r>
        <w:rPr>
          <w:rFonts w:hint="eastAsia" w:ascii="仿宋_GB2312" w:eastAsia="仿宋_GB2312"/>
          <w:b/>
          <w:bCs/>
          <w:color w:val="auto"/>
          <w:sz w:val="24"/>
        </w:rPr>
        <w:t>文件第二章“采购需求”用“▲”标明。</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（六）本项目包括以下设备，根据财办库〔2008〕248号文件有关规定，本项目不允许进口产品参加报价。</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（七）</w:t>
      </w:r>
      <w:r>
        <w:rPr>
          <w:rFonts w:hint="eastAsia" w:ascii="仿宋_GB2312"/>
          <w:b/>
          <w:bCs/>
          <w:color w:val="auto"/>
          <w:sz w:val="24"/>
          <w:lang w:eastAsia="zh-CN"/>
        </w:rPr>
        <w:t>供应商</w:t>
      </w:r>
      <w:r>
        <w:rPr>
          <w:rFonts w:hint="eastAsia" w:ascii="仿宋_GB2312" w:eastAsia="仿宋_GB2312"/>
          <w:b/>
          <w:bCs/>
          <w:color w:val="auto"/>
          <w:sz w:val="24"/>
        </w:rPr>
        <w:t>必须为其响应产品侵犯其他</w:t>
      </w:r>
      <w:r>
        <w:rPr>
          <w:rFonts w:hint="eastAsia" w:ascii="仿宋_GB2312"/>
          <w:b/>
          <w:bCs/>
          <w:color w:val="auto"/>
          <w:sz w:val="24"/>
          <w:lang w:eastAsia="zh-CN"/>
        </w:rPr>
        <w:t>供应商</w:t>
      </w:r>
      <w:r>
        <w:rPr>
          <w:rFonts w:hint="eastAsia" w:ascii="仿宋_GB2312" w:eastAsia="仿宋_GB2312"/>
          <w:b/>
          <w:bCs/>
          <w:color w:val="auto"/>
          <w:sz w:val="24"/>
        </w:rPr>
        <w:t>或专利人的专利成果承担相应法律责任；同时，具有产品专利的</w:t>
      </w:r>
      <w:r>
        <w:rPr>
          <w:rFonts w:hint="eastAsia" w:ascii="仿宋_GB2312"/>
          <w:b/>
          <w:bCs/>
          <w:color w:val="auto"/>
          <w:sz w:val="24"/>
          <w:lang w:eastAsia="zh-CN"/>
        </w:rPr>
        <w:t>供应商</w:t>
      </w:r>
      <w:r>
        <w:rPr>
          <w:rFonts w:hint="eastAsia" w:ascii="仿宋_GB2312" w:eastAsia="仿宋_GB2312"/>
          <w:b/>
          <w:bCs/>
          <w:color w:val="auto"/>
          <w:sz w:val="24"/>
        </w:rPr>
        <w:t>应在其</w:t>
      </w:r>
      <w:r>
        <w:rPr>
          <w:rFonts w:hint="eastAsia" w:ascii="仿宋_GB2312"/>
          <w:b/>
          <w:bCs/>
          <w:color w:val="auto"/>
          <w:sz w:val="24"/>
          <w:lang w:eastAsia="zh-CN"/>
        </w:rPr>
        <w:t>响应</w:t>
      </w:r>
      <w:r>
        <w:rPr>
          <w:rFonts w:hint="eastAsia" w:ascii="仿宋_GB2312" w:eastAsia="仿宋_GB2312"/>
          <w:b/>
          <w:bCs/>
          <w:color w:val="auto"/>
          <w:sz w:val="24"/>
        </w:rPr>
        <w:t>文件中提供与其自有产品专利相关的有效证明材料，否则，不能就其产品的专利在本项目响应过程中被侵权问题提出异议。</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（八）若采购货物属于</w:t>
      </w:r>
      <w:r>
        <w:rPr>
          <w:color w:val="auto"/>
        </w:rPr>
        <w:fldChar w:fldCharType="begin"/>
      </w:r>
      <w:r>
        <w:rPr>
          <w:color w:val="auto"/>
        </w:rPr>
        <w:instrText xml:space="preserve"> HYPERLINK "http://gks.mof.gov.cn/zhengfucaigouguanli/201904/P020190402638613799126.pdf" </w:instrText>
      </w:r>
      <w:r>
        <w:rPr>
          <w:color w:val="auto"/>
        </w:rPr>
        <w:fldChar w:fldCharType="separate"/>
      </w:r>
      <w:r>
        <w:rPr>
          <w:rFonts w:hint="eastAsia" w:ascii="仿宋_GB2312" w:eastAsia="仿宋_GB2312"/>
          <w:b/>
          <w:bCs/>
          <w:color w:val="auto"/>
          <w:sz w:val="24"/>
        </w:rPr>
        <w:t>节能产品政府采购品目清单</w:t>
      </w:r>
      <w:r>
        <w:rPr>
          <w:rFonts w:hint="eastAsia" w:ascii="仿宋_GB2312" w:eastAsia="仿宋_GB2312"/>
          <w:b/>
          <w:bCs/>
          <w:color w:val="auto"/>
          <w:sz w:val="24"/>
        </w:rPr>
        <w:fldChar w:fldCharType="end"/>
      </w:r>
      <w:r>
        <w:rPr>
          <w:rFonts w:hint="eastAsia" w:ascii="仿宋_GB2312" w:eastAsia="仿宋_GB2312"/>
          <w:b/>
          <w:bCs/>
          <w:color w:val="auto"/>
          <w:sz w:val="24"/>
        </w:rPr>
        <w:t>范围的，</w:t>
      </w:r>
      <w:r>
        <w:rPr>
          <w:rFonts w:hint="eastAsia" w:ascii="仿宋_GB2312"/>
          <w:b/>
          <w:bCs/>
          <w:color w:val="auto"/>
          <w:sz w:val="24"/>
          <w:lang w:eastAsia="zh-CN"/>
        </w:rPr>
        <w:t>供应商</w:t>
      </w:r>
      <w:r>
        <w:rPr>
          <w:rFonts w:hint="eastAsia" w:ascii="仿宋_GB2312" w:eastAsia="仿宋_GB2312"/>
          <w:b/>
          <w:bCs/>
          <w:color w:val="auto"/>
          <w:sz w:val="24"/>
        </w:rPr>
        <w:t>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w:t>
      </w:r>
      <w:r>
        <w:rPr>
          <w:rFonts w:hint="eastAsia" w:ascii="仿宋_GB2312"/>
          <w:b/>
          <w:bCs/>
          <w:color w:val="auto"/>
          <w:sz w:val="24"/>
          <w:lang w:eastAsia="zh-CN"/>
        </w:rPr>
        <w:t>供应商</w:t>
      </w:r>
      <w:r>
        <w:rPr>
          <w:rFonts w:hint="eastAsia" w:ascii="仿宋_GB2312" w:eastAsia="仿宋_GB2312"/>
          <w:b/>
          <w:bCs/>
          <w:color w:val="auto"/>
          <w:sz w:val="24"/>
        </w:rPr>
        <w:t>CA电子签章），否则其投标无效。</w:t>
      </w:r>
    </w:p>
    <w:p>
      <w:pPr>
        <w:spacing w:line="380" w:lineRule="exact"/>
        <w:ind w:right="-502" w:rightChars="-157" w:firstLine="482" w:firstLineChars="200"/>
        <w:rPr>
          <w:rFonts w:ascii="仿宋_GB2312" w:eastAsia="仿宋_GB2312"/>
          <w:b/>
          <w:bCs/>
          <w:color w:val="auto"/>
          <w:sz w:val="24"/>
        </w:rPr>
      </w:pPr>
      <w:r>
        <w:rPr>
          <w:rFonts w:hint="eastAsia" w:ascii="仿宋_GB2312" w:eastAsia="仿宋_GB2312"/>
          <w:b/>
          <w:bCs/>
          <w:color w:val="auto"/>
          <w:sz w:val="24"/>
        </w:rPr>
        <w:t>（九）本货物需求一览表的技术参数要求中未特别列明的技术要求参照国家相关技术标准执行，如有最新标准，按最新标准执行。</w:t>
      </w:r>
    </w:p>
    <w:bookmarkEnd w:id="2"/>
    <w:tbl>
      <w:tblPr>
        <w:tblStyle w:val="12"/>
        <w:tblW w:w="10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2"/>
        <w:gridCol w:w="683"/>
        <w:gridCol w:w="6221"/>
        <w:gridCol w:w="98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1" w:type="dxa"/>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395" w:type="dxa"/>
            <w:gridSpan w:val="2"/>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货物名称</w:t>
            </w:r>
          </w:p>
        </w:tc>
        <w:tc>
          <w:tcPr>
            <w:tcW w:w="6221" w:type="dxa"/>
            <w:vAlign w:val="center"/>
          </w:tcPr>
          <w:p>
            <w:pPr>
              <w:widowControl/>
              <w:jc w:val="center"/>
              <w:rPr>
                <w:rFonts w:hint="eastAsia" w:ascii="宋体" w:hAnsi="宋体" w:eastAsia="仿宋_GB2312" w:cs="宋体"/>
                <w:b/>
                <w:bCs/>
                <w:color w:val="auto"/>
                <w:kern w:val="0"/>
                <w:sz w:val="24"/>
                <w:szCs w:val="24"/>
                <w:lang w:val="en-US" w:eastAsia="zh-CN" w:bidi="ar-SA"/>
              </w:rPr>
            </w:pPr>
            <w:r>
              <w:rPr>
                <w:rFonts w:hint="eastAsia" w:ascii="宋体" w:hAnsi="宋体" w:cs="宋体"/>
                <w:b/>
                <w:bCs/>
                <w:color w:val="auto"/>
                <w:kern w:val="0"/>
                <w:sz w:val="24"/>
                <w:szCs w:val="24"/>
              </w:rPr>
              <w:t>技术</w:t>
            </w:r>
            <w:r>
              <w:rPr>
                <w:rFonts w:ascii="宋体" w:hAnsi="宋体" w:cs="宋体"/>
                <w:b/>
                <w:bCs/>
                <w:color w:val="auto"/>
                <w:kern w:val="0"/>
                <w:sz w:val="24"/>
                <w:szCs w:val="24"/>
              </w:rPr>
              <w:t>参数及性能（</w:t>
            </w:r>
            <w:r>
              <w:rPr>
                <w:rFonts w:hint="eastAsia" w:ascii="宋体" w:hAnsi="宋体" w:cs="宋体"/>
                <w:b/>
                <w:bCs/>
                <w:color w:val="auto"/>
                <w:kern w:val="0"/>
                <w:sz w:val="24"/>
                <w:szCs w:val="24"/>
              </w:rPr>
              <w:t>配置</w:t>
            </w:r>
            <w:r>
              <w:rPr>
                <w:rFonts w:ascii="宋体" w:hAnsi="宋体" w:cs="宋体"/>
                <w:b/>
                <w:bCs/>
                <w:color w:val="auto"/>
                <w:kern w:val="0"/>
                <w:sz w:val="24"/>
                <w:szCs w:val="24"/>
              </w:rPr>
              <w:t>）</w:t>
            </w:r>
            <w:r>
              <w:rPr>
                <w:rFonts w:hint="eastAsia" w:ascii="宋体" w:hAnsi="宋体" w:cs="宋体"/>
                <w:b/>
                <w:bCs/>
                <w:color w:val="auto"/>
                <w:kern w:val="0"/>
                <w:sz w:val="24"/>
                <w:szCs w:val="24"/>
              </w:rPr>
              <w:t>要求</w:t>
            </w:r>
          </w:p>
        </w:tc>
        <w:tc>
          <w:tcPr>
            <w:tcW w:w="980" w:type="dxa"/>
            <w:vAlign w:val="center"/>
          </w:tcPr>
          <w:p>
            <w:pPr>
              <w:widowControl/>
              <w:jc w:val="center"/>
              <w:rPr>
                <w:rFonts w:ascii="宋体" w:hAnsi="宋体" w:cs="宋体"/>
                <w:b/>
                <w:bCs/>
                <w:color w:val="auto"/>
                <w:kern w:val="0"/>
                <w:sz w:val="24"/>
                <w:szCs w:val="24"/>
              </w:rPr>
            </w:pPr>
            <w:r>
              <w:rPr>
                <w:rFonts w:hint="eastAsia" w:ascii="仿宋_GB2312" w:hAnsi="仿宋_GB2312" w:eastAsia="仿宋_GB2312" w:cs="仿宋_GB2312"/>
                <w:b/>
                <w:bCs/>
                <w:color w:val="auto"/>
                <w:sz w:val="24"/>
                <w:szCs w:val="24"/>
                <w:highlight w:val="none"/>
              </w:rPr>
              <w:t>数量及单位</w:t>
            </w:r>
          </w:p>
        </w:tc>
        <w:tc>
          <w:tcPr>
            <w:tcW w:w="1155" w:type="dxa"/>
            <w:vAlign w:val="center"/>
          </w:tcPr>
          <w:p>
            <w:pPr>
              <w:widowControl/>
              <w:jc w:val="center"/>
              <w:rPr>
                <w:rFonts w:hint="eastAsia" w:ascii="仿宋_GB2312" w:hAnsi="仿宋_GB2312" w:eastAsia="仿宋_GB2312" w:cs="仿宋_GB2312"/>
                <w:b/>
                <w:bCs/>
                <w:color w:val="auto"/>
                <w:sz w:val="24"/>
                <w:szCs w:val="24"/>
                <w:highlight w:val="none"/>
              </w:rPr>
            </w:pPr>
            <w:r>
              <w:rPr>
                <w:rFonts w:hint="eastAsia" w:ascii="仿宋" w:hAnsi="仿宋" w:eastAsia="仿宋" w:cs="仿宋"/>
                <w:b/>
                <w:bCs/>
                <w:i w:val="0"/>
                <w:iCs w:val="0"/>
                <w:color w:val="auto"/>
                <w:kern w:val="0"/>
                <w:sz w:val="24"/>
                <w:szCs w:val="24"/>
                <w:u w:val="none"/>
                <w:lang w:val="en-US" w:eastAsia="zh-CN" w:bidi="ar"/>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
              </w:rPr>
            </w:pPr>
            <w:r>
              <w:rPr>
                <w:rFonts w:hint="eastAsia" w:ascii="仿宋_GB2312" w:eastAsia="仿宋_GB2312"/>
                <w:b/>
                <w:bCs/>
                <w:color w:val="auto"/>
                <w:sz w:val="24"/>
              </w:rPr>
              <w:t>▲</w:t>
            </w:r>
            <w:r>
              <w:rPr>
                <w:rFonts w:hint="eastAsia" w:ascii="仿宋_GB2312" w:hAnsi="仿宋_GB2312" w:eastAsia="仿宋_GB2312" w:cs="仿宋_GB2312"/>
                <w:bCs/>
                <w:color w:val="auto"/>
                <w:kern w:val="0"/>
                <w:sz w:val="21"/>
                <w:szCs w:val="21"/>
              </w:rPr>
              <w:t>激光工程全高清投影机</w:t>
            </w:r>
            <w:r>
              <w:rPr>
                <w:rFonts w:hint="default" w:ascii="仿宋_GB2312" w:hAnsi="仿宋_GB2312" w:cs="仿宋_GB2312"/>
                <w:bCs/>
                <w:color w:val="auto"/>
                <w:kern w:val="0"/>
                <w:sz w:val="21"/>
                <w:szCs w:val="21"/>
                <w:lang w:val="en"/>
              </w:rPr>
              <w:t>(</w:t>
            </w:r>
            <w:r>
              <w:rPr>
                <w:rFonts w:hint="eastAsia" w:ascii="仿宋_GB2312" w:hAnsi="仿宋_GB2312" w:cs="仿宋_GB2312"/>
                <w:bCs/>
                <w:color w:val="auto"/>
                <w:kern w:val="0"/>
                <w:sz w:val="21"/>
                <w:szCs w:val="21"/>
                <w:lang w:val="en" w:eastAsia="zh-CN"/>
              </w:rPr>
              <w:t>含</w:t>
            </w:r>
            <w:r>
              <w:rPr>
                <w:rFonts w:hint="eastAsia" w:ascii="仿宋_GB2312" w:hAnsi="仿宋_GB2312" w:eastAsia="仿宋_GB2312" w:cs="仿宋_GB2312"/>
                <w:bCs/>
                <w:color w:val="auto"/>
                <w:kern w:val="0"/>
                <w:sz w:val="21"/>
                <w:szCs w:val="21"/>
              </w:rPr>
              <w:t>HDMI高清线、音频线、电源线等</w:t>
            </w:r>
            <w:r>
              <w:rPr>
                <w:rFonts w:hint="default" w:ascii="仿宋_GB2312" w:hAnsi="仿宋_GB2312" w:cs="仿宋_GB2312"/>
                <w:bCs/>
                <w:color w:val="auto"/>
                <w:kern w:val="0"/>
                <w:sz w:val="21"/>
                <w:szCs w:val="21"/>
                <w:lang w:val="en"/>
              </w:rPr>
              <w:t>)</w:t>
            </w:r>
          </w:p>
        </w:tc>
        <w:tc>
          <w:tcPr>
            <w:tcW w:w="6221" w:type="dxa"/>
            <w:vAlign w:val="center"/>
          </w:tcPr>
          <w:p>
            <w:pPr>
              <w:rPr>
                <w:rFonts w:hint="eastAsia" w:ascii="仿宋_GB2312" w:hAnsi="仿宋_GB2312" w:eastAsia="仿宋_GB2312" w:cs="仿宋_GB2312"/>
                <w:bCs/>
                <w:color w:val="auto"/>
                <w:kern w:val="0"/>
                <w:sz w:val="21"/>
                <w:szCs w:val="21"/>
              </w:rPr>
            </w:pPr>
            <w:bookmarkStart w:id="3" w:name="OLE_LINK1"/>
            <w:r>
              <w:rPr>
                <w:rFonts w:hint="eastAsia" w:ascii="仿宋_GB2312" w:hAnsi="仿宋_GB2312" w:eastAsia="仿宋_GB2312" w:cs="仿宋_GB2312"/>
                <w:color w:val="auto"/>
                <w:sz w:val="24"/>
                <w:szCs w:val="24"/>
                <w:lang w:val="en-US" w:eastAsia="zh-CN" w:bidi="ar"/>
              </w:rPr>
              <w:t>详细参数：</w:t>
            </w:r>
            <w:bookmarkEnd w:id="3"/>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bCs/>
                <w:color w:val="auto"/>
                <w:kern w:val="0"/>
                <w:sz w:val="21"/>
                <w:szCs w:val="21"/>
              </w:rPr>
              <w:t>1、激光光源，20000小时光源寿命</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 xml:space="preserve">2、投影系统成像技术：3LCD；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3、液晶面板尺寸 1.0 英寸含微透镜</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u w:val="wave"/>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bCs/>
                <w:color w:val="auto"/>
                <w:kern w:val="0"/>
                <w:sz w:val="21"/>
                <w:szCs w:val="21"/>
              </w:rPr>
              <w:t>4、</w:t>
            </w:r>
            <w:r>
              <w:rPr>
                <w:rFonts w:hint="eastAsia" w:ascii="仿宋_GB2312" w:hAnsi="仿宋_GB2312" w:eastAsia="仿宋_GB2312" w:cs="仿宋_GB2312"/>
                <w:bCs/>
                <w:color w:val="auto"/>
                <w:kern w:val="0"/>
                <w:sz w:val="21"/>
                <w:szCs w:val="21"/>
                <w:u w:val="wave"/>
              </w:rPr>
              <w:t>亮度标准10000流明（非叠加方式，符合ISO21118标准），色彩亮度≥10000流明，白色亮度≥10000流明，中心亮度≥10300lm</w:t>
            </w:r>
            <w:r>
              <w:rPr>
                <w:rFonts w:hint="eastAsia" w:ascii="仿宋_GB2312" w:hAnsi="仿宋_GB2312" w:cs="仿宋_GB2312"/>
                <w:bCs/>
                <w:color w:val="auto"/>
                <w:kern w:val="0"/>
                <w:sz w:val="21"/>
                <w:szCs w:val="21"/>
                <w:u w:val="wave"/>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bCs/>
                <w:color w:val="auto"/>
                <w:kern w:val="0"/>
                <w:sz w:val="21"/>
                <w:szCs w:val="21"/>
              </w:rPr>
              <w:t>5、分辨率像素≥4,608,000像素</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6、对比度5000000:1（符合ISO21118标准）</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bCs/>
                <w:color w:val="auto"/>
                <w:kern w:val="0"/>
                <w:sz w:val="21"/>
                <w:szCs w:val="21"/>
              </w:rPr>
              <w:t>7、整机功耗≤535W</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8、LD输入功率≤388W（标准模式下）</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9、HDMI×1、HDBaseT×1、VGA×1、RS-232C×1，RJ45×1， DVI-D×1，USB Type A×2，USB Type B×1</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支持SDI in/out接口；</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10、最少10种原装工程镜头可选（仅指制造商原厂镜头，非第三方产品），投射比范围最小可至0.35，最大可至7.41；</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11、投影尺寸（投影距离）：</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rPr>
              <w:t>60" to 1000" [1.99m to 34.43m]（变焦：广角)</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rPr>
              <w:t>60" to 1000" [3.26m to 55.63m] ( 变焦：长焦)</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12、支持快速四角调节，梯形、曲面、点、转角等几何校正功能</w:t>
            </w:r>
            <w:r>
              <w:rPr>
                <w:rFonts w:hint="eastAsia" w:ascii="仿宋_GB2312" w:hAnsi="仿宋_GB2312" w:cs="仿宋_GB2312"/>
                <w:bCs/>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 xml:space="preserve">13、全屏图像点校正范围≥33×33点，最小校正单位≤0.5像素；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14、内置测试图案≥15；</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color w:val="auto"/>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15、标准镜头垂直位移范围≥60%（向上位移及向下位移），水平位移范围大于等于18%（向左及向右位移）；垂直梯形校正范围≥45°，水平梯形校正范围≥30°；</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w:t>
            </w:r>
            <w:r>
              <w:rPr>
                <w:rFonts w:hint="eastAsia" w:ascii="仿宋_GB2312" w:hAnsi="仿宋_GB2312" w:cs="仿宋_GB2312"/>
                <w:bCs/>
                <w:color w:val="auto"/>
                <w:kern w:val="0"/>
                <w:sz w:val="21"/>
                <w:szCs w:val="21"/>
                <w:lang w:val="en-US" w:eastAsia="zh-CN"/>
              </w:rPr>
              <w:t>6</w:t>
            </w:r>
            <w:r>
              <w:rPr>
                <w:rFonts w:hint="eastAsia" w:ascii="仿宋_GB2312" w:hAnsi="仿宋_GB2312" w:eastAsia="仿宋_GB2312" w:cs="仿宋_GB2312"/>
                <w:bCs/>
                <w:color w:val="auto"/>
                <w:kern w:val="0"/>
                <w:sz w:val="21"/>
                <w:szCs w:val="21"/>
              </w:rPr>
              <w:t>、满足会议室投影机安装所需要的各类HDMI高清线、无线投屏器到调音台音频线、投影机电源线、幕布电源线等；</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17、做好设备安装调试；</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val="en-US" w:eastAsia="zh-CN"/>
              </w:rPr>
              <w:t>2</w:t>
            </w:r>
            <w:r>
              <w:rPr>
                <w:rFonts w:hint="eastAsia" w:ascii="仿宋_GB2312" w:hAnsi="仿宋_GB2312" w:cs="仿宋_GB2312"/>
                <w:bCs/>
                <w:color w:val="auto"/>
                <w:kern w:val="0"/>
                <w:sz w:val="21"/>
                <w:szCs w:val="21"/>
                <w:lang w:val="en-US" w:eastAsia="zh-CN"/>
              </w:rPr>
              <w:t>套</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US" w:eastAsia="zh-CN"/>
              </w:rPr>
            </w:pPr>
            <w:r>
              <w:rPr>
                <w:rFonts w:hint="eastAsia" w:ascii="仿宋_GB2312" w:hAnsi="仿宋_GB2312" w:cs="仿宋_GB2312"/>
                <w:bCs/>
                <w:color w:val="auto"/>
                <w:kern w:val="0"/>
                <w:sz w:val="21"/>
                <w:szCs w:val="21"/>
                <w:lang w:val="en-US" w:eastAsia="zh-CN"/>
              </w:rPr>
              <w:t>242226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投影机安装支架</w:t>
            </w:r>
          </w:p>
        </w:tc>
        <w:tc>
          <w:tcPr>
            <w:tcW w:w="6221"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满足会议室现场投影机吊装需求。</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val="en-US" w:eastAsia="zh-CN"/>
              </w:rPr>
              <w:t>2</w:t>
            </w:r>
            <w:r>
              <w:rPr>
                <w:rFonts w:hint="eastAsia" w:ascii="仿宋_GB2312" w:hAnsi="仿宋_GB2312" w:cs="仿宋_GB2312"/>
                <w:bCs/>
                <w:color w:val="auto"/>
                <w:kern w:val="0"/>
                <w:sz w:val="21"/>
                <w:szCs w:val="21"/>
                <w:lang w:val="en-US" w:eastAsia="zh-CN"/>
              </w:rPr>
              <w:t>套</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US" w:eastAsia="zh-CN"/>
              </w:rPr>
            </w:pPr>
            <w:r>
              <w:rPr>
                <w:rFonts w:hint="eastAsia" w:ascii="仿宋_GB2312" w:hAnsi="仿宋_GB2312" w:cs="仿宋_GB2312"/>
                <w:bCs/>
                <w:color w:val="auto"/>
                <w:kern w:val="0"/>
                <w:sz w:val="21"/>
                <w:szCs w:val="21"/>
                <w:lang w:val="en-US" w:eastAsia="zh-CN"/>
              </w:rPr>
              <w:t>762.36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eastAsia="仿宋_GB2312"/>
                <w:b/>
                <w:bCs/>
                <w:color w:val="auto"/>
                <w:sz w:val="24"/>
              </w:rPr>
              <w:t>▲</w:t>
            </w:r>
            <w:r>
              <w:rPr>
                <w:rFonts w:hint="eastAsia" w:ascii="仿宋_GB2312" w:hAnsi="仿宋_GB2312" w:eastAsia="仿宋_GB2312" w:cs="仿宋_GB2312"/>
                <w:bCs/>
                <w:color w:val="auto"/>
                <w:kern w:val="0"/>
                <w:sz w:val="21"/>
                <w:szCs w:val="21"/>
              </w:rPr>
              <w:t>电动幕布及无线遥控</w:t>
            </w:r>
          </w:p>
        </w:tc>
        <w:tc>
          <w:tcPr>
            <w:tcW w:w="6221" w:type="dxa"/>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4"/>
                <w:szCs w:val="24"/>
                <w:lang w:val="en-US" w:eastAsia="zh-CN" w:bidi="ar"/>
              </w:rPr>
              <w:t>详细参数：</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default" w:ascii="仿宋_GB2312" w:hAnsi="仿宋_GB2312" w:cs="仿宋_GB2312"/>
                <w:b/>
                <w:bCs/>
                <w:color w:val="auto"/>
                <w:sz w:val="24"/>
                <w:szCs w:val="24"/>
                <w:lang w:val="en"/>
              </w:rPr>
              <w:t>1</w:t>
            </w:r>
            <w:r>
              <w:rPr>
                <w:rFonts w:hint="eastAsia" w:ascii="仿宋_GB2312" w:hAnsi="仿宋_GB2312" w:cs="仿宋_GB2312"/>
                <w:b/>
                <w:bCs/>
                <w:color w:val="auto"/>
                <w:sz w:val="24"/>
                <w:szCs w:val="24"/>
                <w:lang w:val="en" w:eastAsia="zh-CN"/>
              </w:rPr>
              <w:t>、</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w:t>
            </w:r>
            <w:r>
              <w:rPr>
                <w:rFonts w:hint="eastAsia" w:ascii="仿宋_GB2312" w:hAnsi="仿宋_GB2312" w:eastAsia="仿宋_GB2312" w:cs="仿宋_GB2312"/>
                <w:color w:val="auto"/>
                <w:sz w:val="21"/>
                <w:szCs w:val="21"/>
              </w:rPr>
              <w:t>尺寸：150寸</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2、</w:t>
            </w:r>
            <w:r>
              <w:rPr>
                <w:rFonts w:hint="eastAsia" w:ascii="仿宋_GB2312" w:hAnsi="仿宋_GB2312" w:eastAsia="仿宋_GB2312" w:cs="仿宋_GB2312"/>
                <w:color w:val="auto"/>
                <w:sz w:val="21"/>
                <w:szCs w:val="21"/>
              </w:rPr>
              <w:t>比例:16:10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2、</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3、</w:t>
            </w:r>
            <w:r>
              <w:rPr>
                <w:rFonts w:hint="eastAsia" w:ascii="仿宋_GB2312" w:hAnsi="仿宋_GB2312" w:eastAsia="仿宋_GB2312" w:cs="仿宋_GB2312"/>
                <w:color w:val="auto"/>
                <w:sz w:val="21"/>
                <w:szCs w:val="21"/>
              </w:rPr>
              <w:t>投影画面:3230*2019MM</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2、</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color w:val="auto"/>
                <w:sz w:val="21"/>
                <w:szCs w:val="21"/>
              </w:rPr>
              <w:t>材质：PVC+玻璃纤维</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5、</w:t>
            </w:r>
            <w:r>
              <w:rPr>
                <w:rFonts w:hint="eastAsia" w:ascii="仿宋_GB2312" w:hAnsi="仿宋_GB2312" w:eastAsia="仿宋_GB2312" w:cs="仿宋_GB2312"/>
                <w:color w:val="auto"/>
                <w:sz w:val="21"/>
                <w:szCs w:val="21"/>
              </w:rPr>
              <w:t>增益：1.0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6、</w:t>
            </w:r>
            <w:r>
              <w:rPr>
                <w:rFonts w:hint="eastAsia" w:ascii="仿宋_GB2312" w:hAnsi="仿宋_GB2312" w:eastAsia="仿宋_GB2312" w:cs="仿宋_GB2312"/>
                <w:color w:val="auto"/>
                <w:sz w:val="21"/>
                <w:szCs w:val="21"/>
              </w:rPr>
              <w:t>可视角：160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color w:val="auto"/>
                <w:sz w:val="21"/>
                <w:szCs w:val="21"/>
              </w:rPr>
              <w:t>◆</w:t>
            </w:r>
            <w:r>
              <w:rPr>
                <w:rFonts w:hint="eastAsia" w:ascii="仿宋_GB2312" w:hAnsi="仿宋_GB2312" w:cs="仿宋_GB2312"/>
                <w:b w:val="0"/>
                <w:bCs w:val="0"/>
                <w:color w:val="auto"/>
                <w:sz w:val="24"/>
                <w:szCs w:val="24"/>
                <w:lang w:val="en-US" w:eastAsia="zh-CN"/>
              </w:rPr>
              <w:t>7、</w:t>
            </w:r>
            <w:r>
              <w:rPr>
                <w:rFonts w:hint="eastAsia" w:ascii="仿宋_GB2312" w:hAnsi="仿宋_GB2312" w:eastAsia="仿宋_GB2312" w:cs="仿宋_GB2312"/>
                <w:color w:val="auto"/>
                <w:sz w:val="21"/>
                <w:szCs w:val="21"/>
              </w:rPr>
              <w:t>水平视角：≧120°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8、</w:t>
            </w:r>
            <w:r>
              <w:rPr>
                <w:rFonts w:hint="eastAsia" w:ascii="仿宋_GB2312" w:hAnsi="仿宋_GB2312" w:eastAsia="仿宋_GB2312" w:cs="仿宋_GB2312"/>
                <w:color w:val="auto"/>
                <w:sz w:val="21"/>
                <w:szCs w:val="21"/>
              </w:rPr>
              <w:t>图像均匀度：≧60%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9、</w:t>
            </w:r>
            <w:r>
              <w:rPr>
                <w:rFonts w:hint="eastAsia" w:ascii="仿宋_GB2312" w:hAnsi="仿宋_GB2312" w:eastAsia="仿宋_GB2312" w:cs="仿宋_GB2312"/>
                <w:color w:val="auto"/>
                <w:sz w:val="21"/>
                <w:szCs w:val="21"/>
              </w:rPr>
              <w:t>幕面颜色：白色</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8"/>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10、</w:t>
            </w:r>
            <w:r>
              <w:rPr>
                <w:rFonts w:hint="eastAsia" w:ascii="仿宋_GB2312" w:hAnsi="仿宋_GB2312" w:eastAsia="仿宋_GB2312" w:cs="仿宋_GB2312"/>
                <w:color w:val="auto"/>
                <w:sz w:val="21"/>
                <w:szCs w:val="21"/>
              </w:rPr>
              <w:t>配置：外置</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8"/>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11、</w:t>
            </w:r>
            <w:r>
              <w:rPr>
                <w:rFonts w:hint="eastAsia" w:ascii="仿宋_GB2312" w:hAnsi="仿宋_GB2312" w:eastAsia="仿宋_GB2312" w:cs="仿宋_GB2312"/>
                <w:color w:val="auto"/>
                <w:sz w:val="21"/>
                <w:szCs w:val="21"/>
              </w:rPr>
              <w:t>边线类型：纯平非拉线</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8"/>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12、</w:t>
            </w:r>
            <w:r>
              <w:rPr>
                <w:rFonts w:hint="eastAsia" w:ascii="仿宋_GB2312" w:hAnsi="仿宋_GB2312" w:eastAsia="仿宋_GB2312" w:cs="仿宋_GB2312"/>
                <w:color w:val="auto"/>
                <w:sz w:val="21"/>
                <w:szCs w:val="21"/>
              </w:rPr>
              <w:t>显示属性：优秀</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8"/>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13、</w:t>
            </w:r>
            <w:r>
              <w:rPr>
                <w:rFonts w:hint="eastAsia" w:ascii="仿宋_GB2312" w:hAnsi="仿宋_GB2312" w:eastAsia="仿宋_GB2312" w:cs="仿宋_GB2312"/>
                <w:color w:val="auto"/>
                <w:sz w:val="21"/>
                <w:szCs w:val="21"/>
              </w:rPr>
              <w:t>不透明度：100%</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8"/>
              <w:jc w:val="left"/>
              <w:textAlignment w:val="auto"/>
              <w:rPr>
                <w:rFonts w:hint="eastAsia" w:ascii="仿宋_GB2312" w:hAnsi="仿宋_GB2312" w:cs="仿宋_GB2312"/>
                <w:color w:val="auto"/>
                <w:sz w:val="21"/>
                <w:szCs w:val="21"/>
                <w:lang w:eastAsia="zh-CN"/>
              </w:rPr>
            </w:pP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14、</w:t>
            </w:r>
            <w:r>
              <w:rPr>
                <w:rFonts w:hint="eastAsia" w:ascii="仿宋_GB2312" w:hAnsi="仿宋_GB2312" w:eastAsia="仿宋_GB2312" w:cs="仿宋_GB2312"/>
                <w:color w:val="auto"/>
                <w:sz w:val="21"/>
                <w:szCs w:val="21"/>
              </w:rPr>
              <w:t>纹理：精细</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cs="仿宋_GB2312"/>
                <w:color w:val="auto"/>
                <w:sz w:val="21"/>
                <w:szCs w:val="21"/>
                <w:lang w:eastAsia="zh-CN"/>
              </w:rPr>
            </w:pPr>
            <w:r>
              <w:rPr>
                <w:rFonts w:hint="eastAsia" w:ascii="仿宋_GB2312" w:hAnsi="仿宋_GB2312" w:cs="仿宋_GB2312"/>
                <w:b w:val="0"/>
                <w:bCs w:val="0"/>
                <w:color w:val="auto"/>
                <w:sz w:val="24"/>
                <w:szCs w:val="24"/>
                <w:lang w:val="en-US" w:eastAsia="zh-CN"/>
              </w:rPr>
              <w:t>15、</w:t>
            </w:r>
            <w:r>
              <w:rPr>
                <w:rFonts w:hint="eastAsia" w:ascii="仿宋_GB2312" w:hAnsi="仿宋_GB2312" w:eastAsia="仿宋_GB2312" w:cs="仿宋_GB2312"/>
                <w:color w:val="auto"/>
                <w:sz w:val="21"/>
                <w:szCs w:val="21"/>
              </w:rPr>
              <w:t>清洁：细软布擦拭</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bCs/>
                <w:color w:val="auto"/>
                <w:kern w:val="0"/>
                <w:sz w:val="21"/>
                <w:szCs w:val="21"/>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Cs/>
                <w:color w:val="auto"/>
                <w:kern w:val="0"/>
                <w:sz w:val="21"/>
                <w:szCs w:val="21"/>
              </w:rPr>
              <w:t>1</w:t>
            </w:r>
            <w:r>
              <w:rPr>
                <w:rFonts w:hint="eastAsia" w:ascii="仿宋_GB2312" w:hAnsi="仿宋_GB2312" w:cs="仿宋_GB2312"/>
                <w:bCs/>
                <w:color w:val="auto"/>
                <w:kern w:val="0"/>
                <w:sz w:val="21"/>
                <w:szCs w:val="21"/>
                <w:lang w:val="en-US" w:eastAsia="zh-CN"/>
              </w:rPr>
              <w:t>6</w:t>
            </w:r>
            <w:r>
              <w:rPr>
                <w:rFonts w:hint="eastAsia" w:ascii="仿宋_GB2312" w:hAnsi="仿宋_GB2312" w:eastAsia="仿宋_GB2312" w:cs="仿宋_GB2312"/>
                <w:bCs/>
                <w:color w:val="auto"/>
                <w:kern w:val="0"/>
                <w:sz w:val="21"/>
                <w:szCs w:val="21"/>
              </w:rPr>
              <w:t>、做好设备安装调试；</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val="en-US" w:eastAsia="zh-CN"/>
              </w:rPr>
              <w:t>2</w:t>
            </w:r>
            <w:r>
              <w:rPr>
                <w:rFonts w:hint="eastAsia" w:ascii="仿宋_GB2312" w:hAnsi="仿宋_GB2312" w:cs="仿宋_GB2312"/>
                <w:bCs/>
                <w:color w:val="auto"/>
                <w:kern w:val="0"/>
                <w:sz w:val="21"/>
                <w:szCs w:val="21"/>
                <w:lang w:val="en-US" w:eastAsia="zh-CN"/>
              </w:rPr>
              <w:t>套</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US" w:eastAsia="zh-CN"/>
              </w:rPr>
            </w:pPr>
            <w:r>
              <w:rPr>
                <w:rFonts w:hint="eastAsia" w:ascii="仿宋_GB2312" w:hAnsi="仿宋_GB2312" w:cs="仿宋_GB2312"/>
                <w:bCs/>
                <w:color w:val="auto"/>
                <w:kern w:val="0"/>
                <w:sz w:val="21"/>
                <w:szCs w:val="21"/>
                <w:lang w:val="en-US" w:eastAsia="zh-CN"/>
              </w:rPr>
              <w:t>10107.64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0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w:t>
            </w:r>
          </w:p>
        </w:tc>
        <w:tc>
          <w:tcPr>
            <w:tcW w:w="1395"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无线投屏器</w:t>
            </w:r>
          </w:p>
        </w:tc>
        <w:tc>
          <w:tcPr>
            <w:tcW w:w="6221" w:type="dxa"/>
            <w:vAlign w:val="center"/>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4"/>
                <w:szCs w:val="24"/>
                <w:lang w:val="en-US" w:eastAsia="zh-CN" w:bidi="ar"/>
              </w:rPr>
              <w:t>详细参数：</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1、</w:t>
            </w:r>
            <w:r>
              <w:rPr>
                <w:rFonts w:hint="eastAsia" w:ascii="仿宋_GB2312" w:hAnsi="仿宋_GB2312" w:eastAsia="仿宋_GB2312" w:cs="仿宋_GB2312"/>
                <w:color w:val="auto"/>
                <w:sz w:val="21"/>
                <w:szCs w:val="21"/>
              </w:rPr>
              <w:t>操作系统：linux；</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2、</w:t>
            </w:r>
            <w:r>
              <w:rPr>
                <w:rFonts w:hint="eastAsia" w:ascii="仿宋_GB2312" w:hAnsi="仿宋_GB2312" w:eastAsia="仿宋_GB2312" w:cs="仿宋_GB2312"/>
                <w:color w:val="auto"/>
                <w:sz w:val="21"/>
                <w:szCs w:val="21"/>
              </w:rPr>
              <w:t>支持国产电脑及国产操作系统</w:t>
            </w:r>
            <w:r>
              <w:rPr>
                <w:rFonts w:hint="eastAsia" w:ascii="仿宋_GB2312" w:hAnsi="仿宋_GB2312" w:cs="仿宋_GB2312"/>
                <w:color w:val="auto"/>
                <w:sz w:val="21"/>
                <w:szCs w:val="21"/>
                <w:lang w:eastAsia="zh-CN"/>
              </w:rPr>
              <w:t>；</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color w:val="auto"/>
                <w:sz w:val="21"/>
                <w:szCs w:val="21"/>
              </w:rPr>
              <w:t>◆</w:t>
            </w:r>
            <w:r>
              <w:rPr>
                <w:rFonts w:hint="eastAsia" w:ascii="仿宋_GB2312" w:hAnsi="仿宋_GB2312" w:cs="仿宋_GB2312"/>
                <w:b w:val="0"/>
                <w:bCs w:val="0"/>
                <w:color w:val="auto"/>
                <w:sz w:val="24"/>
                <w:szCs w:val="24"/>
                <w:lang w:val="en-US" w:eastAsia="zh-CN"/>
              </w:rPr>
              <w:t>3、</w:t>
            </w:r>
            <w:r>
              <w:rPr>
                <w:rFonts w:hint="eastAsia" w:ascii="仿宋_GB2312" w:hAnsi="仿宋_GB2312" w:eastAsia="仿宋_GB2312" w:cs="仿宋_GB2312"/>
                <w:color w:val="auto"/>
                <w:sz w:val="21"/>
                <w:szCs w:val="21"/>
              </w:rPr>
              <w:t>使用距离：≥15米；</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4、</w:t>
            </w:r>
            <w:r>
              <w:rPr>
                <w:rFonts w:hint="eastAsia" w:ascii="仿宋_GB2312" w:hAnsi="仿宋_GB2312" w:eastAsia="仿宋_GB2312" w:cs="仿宋_GB2312"/>
                <w:color w:val="auto"/>
                <w:sz w:val="21"/>
                <w:szCs w:val="21"/>
              </w:rPr>
              <w:t>显示画面：显示单画面；</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5、</w:t>
            </w:r>
            <w:r>
              <w:rPr>
                <w:rFonts w:hint="eastAsia" w:ascii="仿宋_GB2312" w:hAnsi="仿宋_GB2312" w:eastAsia="仿宋_GB2312" w:cs="仿宋_GB2312"/>
                <w:color w:val="auto"/>
                <w:sz w:val="21"/>
                <w:szCs w:val="21"/>
              </w:rPr>
              <w:t>音视频接口：HDMI、3.5音频；</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color w:val="auto"/>
                <w:sz w:val="21"/>
                <w:szCs w:val="21"/>
              </w:rPr>
              <w:t>◆</w:t>
            </w:r>
            <w:r>
              <w:rPr>
                <w:rFonts w:hint="eastAsia" w:ascii="仿宋_GB2312" w:hAnsi="仿宋_GB2312" w:cs="仿宋_GB2312"/>
                <w:b w:val="0"/>
                <w:bCs w:val="0"/>
                <w:color w:val="auto"/>
                <w:sz w:val="24"/>
                <w:szCs w:val="24"/>
                <w:lang w:val="en-US" w:eastAsia="zh-CN"/>
              </w:rPr>
              <w:t>6、</w:t>
            </w:r>
            <w:r>
              <w:rPr>
                <w:rFonts w:hint="eastAsia" w:ascii="仿宋_GB2312" w:hAnsi="仿宋_GB2312" w:eastAsia="仿宋_GB2312" w:cs="仿宋_GB2312"/>
                <w:color w:val="auto"/>
                <w:sz w:val="21"/>
                <w:szCs w:val="21"/>
              </w:rPr>
              <w:t>可接入数量：≥8；</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7、</w:t>
            </w:r>
            <w:r>
              <w:rPr>
                <w:rFonts w:hint="eastAsia" w:ascii="仿宋_GB2312" w:hAnsi="仿宋_GB2312" w:eastAsia="仿宋_GB2312" w:cs="仿宋_GB2312"/>
                <w:color w:val="auto"/>
                <w:sz w:val="21"/>
                <w:szCs w:val="21"/>
              </w:rPr>
              <w:t>输入分辨率：3840*2160；</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w:t>
            </w:r>
            <w:r>
              <w:rPr>
                <w:rFonts w:hint="eastAsia" w:ascii="仿宋_GB2312" w:hAnsi="仿宋_GB2312" w:cs="仿宋_GB2312"/>
                <w:b w:val="0"/>
                <w:bCs w:val="0"/>
                <w:color w:val="auto"/>
                <w:sz w:val="24"/>
                <w:szCs w:val="24"/>
                <w:lang w:val="en-US" w:eastAsia="zh-CN"/>
              </w:rPr>
              <w:t>8、</w:t>
            </w:r>
            <w:r>
              <w:rPr>
                <w:rFonts w:hint="eastAsia" w:ascii="仿宋_GB2312" w:hAnsi="仿宋_GB2312" w:eastAsia="仿宋_GB2312" w:cs="仿宋_GB2312"/>
                <w:color w:val="auto"/>
                <w:sz w:val="21"/>
                <w:szCs w:val="21"/>
              </w:rPr>
              <w:t>输出分辨率：1080P；</w:t>
            </w:r>
          </w:p>
          <w:p>
            <w:pPr>
              <w:pStyle w:val="14"/>
              <w:keepNext w:val="0"/>
              <w:keepLines w:val="0"/>
              <w:pageBreakBefore w:val="0"/>
              <w:widowControl/>
              <w:numPr>
                <w:ilvl w:val="0"/>
                <w:numId w:val="0"/>
              </w:numPr>
              <w:kinsoku/>
              <w:wordWrap/>
              <w:overflowPunct/>
              <w:topLinePunct w:val="0"/>
              <w:autoSpaceDE/>
              <w:autoSpaceDN/>
              <w:bidi w:val="0"/>
              <w:adjustRightInd/>
              <w:snapToGrid/>
              <w:spacing w:line="280" w:lineRule="exact"/>
              <w:ind w:leftChars="-17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color w:val="auto"/>
                <w:sz w:val="24"/>
                <w:szCs w:val="24"/>
              </w:rPr>
              <w:t>★</w:t>
            </w:r>
            <w:r>
              <w:rPr>
                <w:rFonts w:hint="eastAsia" w:ascii="仿宋_GB2312" w:hAnsi="仿宋_GB2312" w:cs="仿宋_GB2312"/>
                <w:b/>
                <w:bCs/>
                <w:color w:val="auto"/>
                <w:sz w:val="24"/>
                <w:szCs w:val="24"/>
                <w:lang w:val="en-US" w:eastAsia="zh-CN"/>
              </w:rPr>
              <w:t>1、</w:t>
            </w:r>
            <w:r>
              <w:rPr>
                <w:rFonts w:hint="eastAsia" w:ascii="仿宋_GB2312" w:hAnsi="仿宋_GB2312" w:eastAsia="仿宋_GB2312" w:cs="仿宋_GB2312"/>
                <w:color w:val="auto"/>
                <w:sz w:val="21"/>
                <w:szCs w:val="21"/>
              </w:rPr>
              <w:t>◆</w:t>
            </w:r>
            <w:r>
              <w:rPr>
                <w:rFonts w:hint="eastAsia" w:ascii="仿宋_GB2312" w:hAnsi="仿宋_GB2312" w:cs="仿宋_GB2312"/>
                <w:b w:val="0"/>
                <w:bCs w:val="0"/>
                <w:color w:val="auto"/>
                <w:sz w:val="24"/>
                <w:szCs w:val="24"/>
                <w:lang w:val="en-US" w:eastAsia="zh-CN"/>
              </w:rPr>
              <w:t>9、</w:t>
            </w:r>
            <w:r>
              <w:rPr>
                <w:rFonts w:hint="eastAsia" w:ascii="仿宋_GB2312" w:hAnsi="仿宋_GB2312" w:eastAsia="仿宋_GB2312" w:cs="仿宋_GB2312"/>
                <w:color w:val="auto"/>
                <w:sz w:val="21"/>
                <w:szCs w:val="21"/>
              </w:rPr>
              <w:t>传输延时：小于100ms；</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Cs/>
                <w:color w:val="auto"/>
                <w:kern w:val="0"/>
                <w:sz w:val="21"/>
                <w:szCs w:val="21"/>
                <w:lang w:eastAsia="zh-CN"/>
              </w:rPr>
            </w:pPr>
            <w:r>
              <w:rPr>
                <w:rFonts w:hint="eastAsia" w:ascii="仿宋_GB2312" w:hAnsi="仿宋_GB2312" w:eastAsia="仿宋_GB2312" w:cs="仿宋_GB2312"/>
                <w:bCs/>
                <w:color w:val="auto"/>
                <w:kern w:val="0"/>
                <w:sz w:val="21"/>
                <w:szCs w:val="21"/>
                <w:lang w:val="en-US" w:eastAsia="zh-CN"/>
              </w:rPr>
              <w:t>2</w:t>
            </w:r>
            <w:r>
              <w:rPr>
                <w:rFonts w:hint="eastAsia" w:ascii="仿宋_GB2312" w:hAnsi="仿宋_GB2312" w:cs="仿宋_GB2312"/>
                <w:bCs/>
                <w:color w:val="auto"/>
                <w:kern w:val="0"/>
                <w:sz w:val="21"/>
                <w:szCs w:val="21"/>
                <w:lang w:val="en-US" w:eastAsia="zh-CN"/>
              </w:rPr>
              <w:t>套</w:t>
            </w:r>
          </w:p>
        </w:tc>
        <w:tc>
          <w:tcPr>
            <w:tcW w:w="115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Cs/>
                <w:color w:val="auto"/>
                <w:kern w:val="0"/>
                <w:sz w:val="21"/>
                <w:szCs w:val="21"/>
                <w:lang w:val="en-US" w:eastAsia="zh-CN"/>
              </w:rPr>
            </w:pPr>
            <w:r>
              <w:rPr>
                <w:rFonts w:hint="eastAsia" w:ascii="仿宋_GB2312" w:hAnsi="仿宋_GB2312" w:cs="仿宋_GB2312"/>
                <w:bCs/>
                <w:color w:val="auto"/>
                <w:kern w:val="0"/>
                <w:sz w:val="21"/>
                <w:szCs w:val="21"/>
                <w:lang w:val="en-US" w:eastAsia="zh-CN"/>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right="-502" w:rightChars="-157"/>
              <w:rPr>
                <w:rFonts w:hint="eastAsia" w:ascii="仿宋_GB2312" w:hAnsi="宋体" w:eastAsia="仿宋_GB2312" w:cs="宋体"/>
                <w:b/>
                <w:color w:val="auto"/>
                <w:kern w:val="0"/>
                <w:sz w:val="24"/>
              </w:rPr>
            </w:pPr>
            <w:r>
              <w:rPr>
                <w:rFonts w:ascii="仿宋_GB2312" w:hAnsi="宋体" w:eastAsia="仿宋_GB2312" w:cs="宋体"/>
                <w:b/>
                <w:color w:val="auto"/>
                <w:kern w:val="0"/>
                <w:sz w:val="24"/>
              </w:rPr>
              <w:t>★</w:t>
            </w:r>
            <w:r>
              <w:rPr>
                <w:rFonts w:hint="eastAsia" w:ascii="仿宋_GB2312" w:hAnsi="宋体" w:eastAsia="仿宋_GB2312" w:cs="宋体"/>
                <w:b/>
                <w:color w:val="auto"/>
                <w:kern w:val="0"/>
                <w:sz w:val="24"/>
              </w:rPr>
              <w:t>二、商务要求</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ind w:right="-502" w:rightChars="-157"/>
              <w:rPr>
                <w:rFonts w:ascii="仿宋_GB2312" w:hAnsi="宋体" w:eastAsia="仿宋_GB2312"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基本要求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本项目报价包括</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及</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运抵指定交付地点的各种费用、随配附件、备品备件、易损件、专用工具、安装调试、技术培训、技术资料、包装、售后服务、保险费、税金、验收检验及其他所有成本费用的总和</w:t>
            </w:r>
            <w:r>
              <w:rPr>
                <w:rFonts w:hint="eastAsia" w:ascii="仿宋_GB2312" w:hAnsi="仿宋_GB2312" w:cs="仿宋_GB2312"/>
                <w:bCs/>
                <w:color w:val="auto"/>
                <w:sz w:val="24"/>
                <w:szCs w:val="24"/>
                <w:lang w:eastAsia="zh-CN"/>
              </w:rPr>
              <w:t>，采购人不再支付成交价格以外的任何费用</w:t>
            </w:r>
            <w:r>
              <w:rPr>
                <w:rFonts w:hint="eastAsia" w:ascii="仿宋_GB2312" w:hAnsi="仿宋_GB2312" w:eastAsia="仿宋_GB2312" w:cs="仿宋_GB2312"/>
                <w:bCs/>
                <w:color w:val="auto"/>
                <w:sz w:val="24"/>
                <w:szCs w:val="24"/>
              </w:rPr>
              <w:t>；</w:t>
            </w:r>
          </w:p>
          <w:p>
            <w:pPr>
              <w:numPr>
                <w:ilvl w:val="0"/>
                <w:numId w:val="1"/>
              </w:numPr>
              <w:spacing w:line="440" w:lineRule="exact"/>
              <w:ind w:left="0" w:leftChars="0" w:firstLine="0" w:firstLineChars="0"/>
              <w:jc w:val="both"/>
              <w:rPr>
                <w:rFonts w:hint="eastAsia" w:ascii="仿宋_GB2312" w:hAnsi="仿宋_GB2312" w:eastAsia="仿宋_GB2312" w:cs="仿宋_GB2312"/>
                <w:bCs/>
                <w:color w:val="auto"/>
                <w:sz w:val="24"/>
                <w:szCs w:val="24"/>
              </w:rPr>
            </w:pP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应保证</w:t>
            </w:r>
            <w:r>
              <w:rPr>
                <w:rFonts w:hint="eastAsia" w:ascii="仿宋_GB2312" w:hAnsi="仿宋_GB2312" w:cs="仿宋_GB2312"/>
                <w:bCs/>
                <w:color w:val="auto"/>
                <w:sz w:val="24"/>
                <w:szCs w:val="24"/>
                <w:lang w:eastAsia="zh-CN"/>
              </w:rPr>
              <w:t>所提供</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涉及到的知识产权和所提供的相关技术资料是合法取得，不会因为采购人的使用而被责令停止使用、追偿或要求赔偿损失，如出现此情况，一切经济和法律责任均由</w:t>
            </w: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承担；
</w:t>
            </w:r>
          </w:p>
          <w:p>
            <w:pPr>
              <w:numPr>
                <w:ilvl w:val="0"/>
                <w:numId w:val="1"/>
              </w:numPr>
              <w:spacing w:line="440" w:lineRule="exact"/>
              <w:ind w:left="0" w:leftChars="0" w:firstLine="0" w:firstLineChars="0"/>
              <w:jc w:val="both"/>
              <w:rPr>
                <w:rFonts w:hint="default" w:ascii="仿宋_GB2312" w:hAnsi="仿宋_GB2312" w:eastAsia="仿宋_GB2312" w:cs="仿宋_GB2312"/>
                <w:bCs/>
                <w:color w:val="auto"/>
                <w:sz w:val="24"/>
                <w:lang w:val="en-US" w:eastAsia="zh-CN"/>
              </w:rPr>
            </w:pPr>
            <w:r>
              <w:rPr>
                <w:rFonts w:hint="eastAsia" w:ascii="仿宋_GB2312" w:hAnsi="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所提供的</w:t>
            </w:r>
            <w:r>
              <w:rPr>
                <w:rFonts w:hint="eastAsia" w:ascii="仿宋_GB2312" w:hAnsi="仿宋_GB2312" w:eastAsia="仿宋_GB2312" w:cs="仿宋_GB2312"/>
                <w:bCs/>
                <w:color w:val="auto"/>
                <w:sz w:val="24"/>
              </w:rPr>
              <w:t>货物产品</w:t>
            </w:r>
            <w:r>
              <w:rPr>
                <w:rFonts w:hint="eastAsia" w:ascii="仿宋_GB2312" w:hAnsi="仿宋_GB2312" w:eastAsia="仿宋_GB2312" w:cs="仿宋_GB2312"/>
                <w:bCs/>
                <w:color w:val="auto"/>
                <w:sz w:val="24"/>
                <w:szCs w:val="24"/>
              </w:rPr>
              <w:t>型号、技术规格、技术参数等质量必须与本次采购要求和承诺相一致</w:t>
            </w:r>
            <w:r>
              <w:rPr>
                <w:rFonts w:hint="eastAsia" w:ascii="仿宋_GB2312" w:hAnsi="仿宋_GB2312" w:cs="仿宋_GB2312"/>
                <w:bCs/>
                <w:color w:val="auto"/>
                <w:sz w:val="24"/>
                <w:szCs w:val="24"/>
                <w:lang w:eastAsia="zh-CN"/>
              </w:rPr>
              <w:t>；所提供的</w:t>
            </w:r>
            <w:r>
              <w:rPr>
                <w:rFonts w:hint="eastAsia" w:ascii="仿宋_GB2312" w:hAnsi="仿宋_GB2312" w:eastAsia="仿宋_GB2312" w:cs="仿宋_GB2312"/>
                <w:bCs/>
                <w:color w:val="auto"/>
                <w:sz w:val="24"/>
              </w:rPr>
              <w:t>货物产品</w:t>
            </w:r>
            <w:r>
              <w:rPr>
                <w:rFonts w:hint="eastAsia" w:ascii="仿宋_GB2312" w:hAnsi="仿宋_GB2312" w:cs="仿宋_GB2312"/>
                <w:bCs/>
                <w:color w:val="auto"/>
                <w:sz w:val="24"/>
                <w:szCs w:val="24"/>
                <w:lang w:eastAsia="zh-CN"/>
              </w:rPr>
              <w:t>必须是全新、未使用的原厂出厂的原装产品，且在正常安装、使用和保养条件下，其使用寿命期内各项指标均达到质量要求。</w:t>
            </w:r>
            <w:r>
              <w:rPr>
                <w:rFonts w:hint="eastAsia" w:ascii="仿宋_GB2312" w:hAnsi="仿宋_GB2312" w:eastAsia="仿宋_GB2312" w:cs="仿宋_GB2312"/>
                <w:bCs/>
                <w:color w:val="auto"/>
                <w:sz w:val="24"/>
                <w:szCs w:val="24"/>
              </w:rPr>
              <w:br w:type="textWrapping"/>
            </w:r>
            <w:r>
              <w:rPr>
                <w:rFonts w:hint="eastAsia" w:ascii="仿宋_GB2312" w:hAnsi="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w:t>
            </w:r>
            <w:r>
              <w:rPr>
                <w:rFonts w:hint="eastAsia" w:ascii="仿宋_GB2312" w:hAnsi="仿宋_GB2312" w:cs="仿宋_GB2312"/>
                <w:bCs/>
                <w:color w:val="auto"/>
                <w:sz w:val="24"/>
                <w:szCs w:val="24"/>
                <w:lang w:eastAsia="zh-CN"/>
              </w:rPr>
              <w:t>供应商所</w:t>
            </w:r>
            <w:r>
              <w:rPr>
                <w:rFonts w:hint="eastAsia" w:ascii="仿宋_GB2312" w:hAnsi="仿宋_GB2312" w:eastAsia="仿宋_GB2312" w:cs="仿宋_GB2312"/>
                <w:bCs/>
                <w:color w:val="auto"/>
                <w:sz w:val="24"/>
              </w:rPr>
              <w:t>提供的货物产品</w:t>
            </w:r>
            <w:r>
              <w:rPr>
                <w:rFonts w:hint="eastAsia" w:ascii="仿宋_GB2312" w:hAnsi="仿宋_GB2312" w:eastAsia="仿宋_GB2312" w:cs="仿宋_GB2312"/>
                <w:bCs/>
                <w:color w:val="auto"/>
                <w:sz w:val="24"/>
                <w:szCs w:val="24"/>
              </w:rPr>
              <w:t>应符合国家有关部门规定的相应技术、节能、安全和环保标准；国家有关部门对</w:t>
            </w:r>
            <w:r>
              <w:rPr>
                <w:rFonts w:hint="eastAsia" w:ascii="仿宋_GB2312" w:hAnsi="仿宋_GB2312" w:cs="仿宋_GB2312"/>
                <w:bCs/>
                <w:color w:val="auto"/>
                <w:sz w:val="24"/>
                <w:szCs w:val="24"/>
                <w:lang w:eastAsia="zh-CN"/>
              </w:rPr>
              <w:t>所</w:t>
            </w:r>
            <w:r>
              <w:rPr>
                <w:rFonts w:hint="eastAsia" w:ascii="仿宋_GB2312" w:hAnsi="仿宋_GB2312" w:eastAsia="仿宋_GB2312" w:cs="仿宋_GB2312"/>
                <w:bCs/>
                <w:color w:val="auto"/>
                <w:sz w:val="24"/>
              </w:rPr>
              <w:t>提供的货物产品</w:t>
            </w:r>
            <w:r>
              <w:rPr>
                <w:rFonts w:hint="eastAsia" w:ascii="仿宋_GB2312" w:hAnsi="仿宋_GB2312" w:eastAsia="仿宋_GB2312" w:cs="仿宋_GB2312"/>
                <w:bCs/>
                <w:color w:val="auto"/>
                <w:sz w:val="24"/>
                <w:szCs w:val="24"/>
              </w:rPr>
              <w:t>有强制性规定或要求的，必须符合相应规定或要求。</w:t>
            </w:r>
            <w:r>
              <w:rPr>
                <w:rFonts w:hint="eastAsia" w:ascii="仿宋_GB2312" w:hAnsi="仿宋_GB2312" w:cs="仿宋_GB2312"/>
                <w:bCs/>
                <w:color w:val="auto"/>
                <w:sz w:val="24"/>
                <w:szCs w:val="24"/>
                <w:lang w:val="en-US" w:eastAsia="zh-CN"/>
              </w:rPr>
              <w:t xml:space="preserve">    </w:t>
            </w:r>
            <w:r>
              <w:rPr>
                <w:rFonts w:hint="eastAsia" w:ascii="仿宋_GB2312" w:hAnsi="仿宋_GB2312" w:cs="仿宋_GB2312"/>
                <w:bCs/>
                <w:color w:val="auto"/>
                <w:sz w:val="24"/>
                <w:lang w:val="en-US" w:eastAsia="zh-CN"/>
              </w:rPr>
              <w:t xml:space="preserve">                                                              </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ind w:leftChars="0"/>
              <w:jc w:val="both"/>
              <w:rPr>
                <w:rFonts w:hint="eastAsia" w:ascii="仿宋_GB2312" w:hAnsi="仿宋_GB2312" w:cs="仿宋_GB2312"/>
                <w:bCs/>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质量保证期</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自验收合格后交付使用之日起</w:t>
            </w:r>
            <w:r>
              <w:rPr>
                <w:rFonts w:hint="eastAsia" w:ascii="仿宋_GB2312" w:hAnsi="仿宋_GB2312" w:cs="仿宋_GB2312"/>
                <w:bCs/>
                <w:color w:val="auto"/>
                <w:sz w:val="24"/>
                <w:highlight w:val="none"/>
                <w:lang w:val="en-US" w:eastAsia="zh-CN"/>
              </w:rPr>
              <w:t>1</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（采购需求</w:t>
            </w:r>
            <w:r>
              <w:rPr>
                <w:rFonts w:hint="eastAsia" w:ascii="仿宋_GB2312" w:hAnsi="仿宋_GB2312" w:eastAsia="仿宋_GB2312" w:cs="仿宋_GB2312"/>
                <w:bCs/>
                <w:color w:val="auto"/>
                <w:sz w:val="24"/>
              </w:rPr>
              <w:t>、项目技术规格参数及要求</w:t>
            </w:r>
            <w:r>
              <w:rPr>
                <w:rFonts w:hint="eastAsia" w:ascii="仿宋_GB2312" w:hAnsi="仿宋_GB2312" w:eastAsia="仿宋_GB2312" w:cs="仿宋_GB2312"/>
                <w:bCs/>
                <w:color w:val="auto"/>
                <w:sz w:val="24"/>
                <w:lang w:val="en-US" w:eastAsia="zh-CN"/>
              </w:rPr>
              <w:t>中另有要求的按采购需求</w:t>
            </w:r>
            <w:r>
              <w:rPr>
                <w:rFonts w:hint="eastAsia" w:ascii="仿宋_GB2312" w:hAnsi="仿宋_GB2312" w:eastAsia="仿宋_GB2312" w:cs="仿宋_GB2312"/>
                <w:bCs/>
                <w:color w:val="auto"/>
                <w:sz w:val="24"/>
                <w:lang w:eastAsia="zh-CN"/>
              </w:rPr>
              <w:t>要求执行）</w:t>
            </w:r>
            <w:r>
              <w:rPr>
                <w:rFonts w:hint="eastAsia" w:ascii="仿宋_GB2312" w:hAnsi="仿宋_GB2312" w:eastAsia="仿宋_GB2312" w:cs="仿宋_GB2312"/>
                <w:bCs/>
                <w:color w:val="auto"/>
                <w:sz w:val="24"/>
              </w:rPr>
              <w:t>。</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售后服务要求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成交供应商应所提供的货物产品必须是未使用过的全新产品；若产品质量存在缺陷，成交供应商免费在1个月内更换新产品。</w:t>
            </w:r>
          </w:p>
          <w:p>
            <w:pPr>
              <w:numPr>
                <w:ilvl w:val="0"/>
                <w:numId w:val="2"/>
              </w:num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成交供应商所提供的货物产品必须是按厂家标准配置的整套全新产品，按国家规定实行“三包”，免费送货上门、免费安装调试（附安装说明书）及人员培训，培训后采购人可熟悉基本操作；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auto"/>
                <w:sz w:val="24"/>
              </w:rPr>
              <w:br w:type="textWrapping"/>
            </w:r>
            <w:r>
              <w:rPr>
                <w:rFonts w:hint="eastAsia" w:ascii="仿宋_GB2312" w:hAnsi="仿宋_GB2312" w:cs="仿宋_GB2312"/>
                <w:bCs/>
                <w:color w:val="auto"/>
                <w:sz w:val="24"/>
                <w:lang w:val="en-US" w:eastAsia="zh-CN"/>
              </w:rPr>
              <w:t>3</w:t>
            </w:r>
            <w:r>
              <w:rPr>
                <w:rFonts w:hint="eastAsia" w:ascii="仿宋_GB2312" w:hAnsi="仿宋_GB2312" w:eastAsia="仿宋_GB2312" w:cs="仿宋_GB2312"/>
                <w:bCs/>
                <w:color w:val="auto"/>
                <w:sz w:val="24"/>
              </w:rPr>
              <w:t>.故障处理 ：成交供应商应在质量保证期内提供7*24小时的不间断技术支持服务，并做到电话、传真、电子邮件、现场等多种方式的技术全方位响应需求，如遇问题，承诺在接到采购人通知后3个小时内到达现场处理。遇到大的问题，故障修复时限不超过48小时,如超过时限无法排除故障，免费提供同等质量的产品作为备用品供采购人使用，直到修复完成。
</w:t>
            </w:r>
            <w:r>
              <w:rPr>
                <w:rFonts w:hint="eastAsia" w:ascii="仿宋_GB2312" w:hAnsi="仿宋_GB2312" w:eastAsia="仿宋_GB2312" w:cs="仿宋_GB2312"/>
                <w:bCs/>
                <w:color w:val="auto"/>
                <w:sz w:val="24"/>
              </w:rPr>
              <w:br w:type="textWrapping"/>
            </w:r>
            <w:r>
              <w:rPr>
                <w:rFonts w:hint="eastAsia" w:ascii="仿宋_GB2312" w:hAnsi="仿宋_GB2312" w:cs="仿宋_GB2312"/>
                <w:bCs/>
                <w:color w:val="auto"/>
                <w:sz w:val="24"/>
                <w:lang w:val="en-US" w:eastAsia="zh-CN"/>
              </w:rPr>
              <w:t>4</w:t>
            </w:r>
            <w:r>
              <w:rPr>
                <w:rFonts w:hint="eastAsia" w:ascii="仿宋_GB2312" w:hAnsi="仿宋_GB2312" w:eastAsia="仿宋_GB2312" w:cs="仿宋_GB2312"/>
                <w:bCs/>
                <w:color w:val="auto"/>
                <w:sz w:val="24"/>
              </w:rPr>
              <w:t>.成交供应商</w:t>
            </w:r>
            <w:r>
              <w:rPr>
                <w:rFonts w:hint="eastAsia" w:ascii="仿宋_GB2312" w:hAnsi="仿宋_GB2312" w:cs="仿宋_GB2312"/>
                <w:bCs/>
                <w:color w:val="auto"/>
                <w:sz w:val="24"/>
                <w:lang w:eastAsia="zh-CN"/>
              </w:rPr>
              <w:t>应在</w:t>
            </w:r>
            <w:r>
              <w:rPr>
                <w:rFonts w:hint="eastAsia" w:ascii="仿宋_GB2312" w:hAnsi="仿宋_GB2312" w:eastAsia="仿宋_GB2312" w:cs="仿宋_GB2312"/>
                <w:bCs/>
                <w:color w:val="auto"/>
                <w:sz w:val="24"/>
              </w:rPr>
              <w:t>质量保证期内免费提供维修服务（含人工费、配件费、差旅费等各项费用），所更换的所有零配件全部使用原厂配件；保修期以外一律按</w:t>
            </w:r>
            <w:r>
              <w:rPr>
                <w:rFonts w:hint="eastAsia" w:ascii="仿宋_GB2312" w:hAnsi="仿宋_GB2312" w:cs="仿宋_GB2312"/>
                <w:bCs/>
                <w:color w:val="auto"/>
                <w:sz w:val="24"/>
                <w:lang w:eastAsia="zh-CN"/>
              </w:rPr>
              <w:t>响应</w:t>
            </w:r>
            <w:r>
              <w:rPr>
                <w:rFonts w:hint="eastAsia" w:ascii="仿宋_GB2312" w:hAnsi="仿宋_GB2312" w:eastAsia="仿宋_GB2312" w:cs="仿宋_GB2312"/>
                <w:bCs/>
                <w:color w:val="auto"/>
                <w:sz w:val="24"/>
              </w:rPr>
              <w:t>文件承诺的优惠价收费，提供终身上门维修服务。采购人发现产品存在制造上的缺陷，</w:t>
            </w:r>
            <w:r>
              <w:rPr>
                <w:rFonts w:hint="eastAsia" w:ascii="仿宋_GB2312" w:hAnsi="仿宋_GB2312" w:cs="仿宋_GB2312"/>
                <w:bCs/>
                <w:color w:val="auto"/>
                <w:sz w:val="24"/>
                <w:lang w:eastAsia="zh-CN"/>
              </w:rPr>
              <w:t>成交</w:t>
            </w:r>
            <w:r>
              <w:rPr>
                <w:rFonts w:hint="eastAsia" w:ascii="仿宋_GB2312" w:hAnsi="仿宋_GB2312" w:eastAsia="仿宋_GB2312" w:cs="仿宋_GB2312"/>
                <w:bCs/>
                <w:color w:val="auto"/>
                <w:sz w:val="24"/>
              </w:rPr>
              <w:t>供应商应负责采取补救措施，若该缺陷导致产品存在安全隐患或不能使用的，</w:t>
            </w:r>
            <w:r>
              <w:rPr>
                <w:rFonts w:hint="eastAsia" w:ascii="仿宋_GB2312" w:hAnsi="仿宋_GB2312" w:cs="仿宋_GB2312"/>
                <w:bCs/>
                <w:color w:val="auto"/>
                <w:sz w:val="24"/>
                <w:lang w:eastAsia="zh-CN"/>
              </w:rPr>
              <w:t>成交</w:t>
            </w:r>
            <w:r>
              <w:rPr>
                <w:rFonts w:hint="eastAsia" w:ascii="仿宋_GB2312" w:hAnsi="仿宋_GB2312" w:eastAsia="仿宋_GB2312" w:cs="仿宋_GB2312"/>
                <w:bCs/>
                <w:color w:val="auto"/>
                <w:sz w:val="24"/>
              </w:rPr>
              <w:t>供应商应负责免费更换整件产品。</w:t>
            </w:r>
          </w:p>
          <w:p>
            <w:pPr>
              <w:numPr>
                <w:ilvl w:val="0"/>
                <w:numId w:val="0"/>
              </w:numPr>
              <w:spacing w:line="440" w:lineRule="exact"/>
              <w:jc w:val="left"/>
              <w:rPr>
                <w:rFonts w:hint="eastAsia" w:ascii="仿宋_GB2312" w:hAnsi="仿宋_GB2312" w:eastAsia="仿宋_GB2312" w:cs="仿宋_GB2312"/>
                <w:bCs/>
                <w:color w:val="auto"/>
                <w:sz w:val="24"/>
              </w:rPr>
            </w:pPr>
            <w:r>
              <w:rPr>
                <w:rFonts w:hint="eastAsia" w:ascii="仿宋_GB2312" w:hAnsi="仿宋_GB2312" w:cs="仿宋_GB2312"/>
                <w:bCs/>
                <w:color w:val="auto"/>
                <w:sz w:val="24"/>
                <w:lang w:val="en-US" w:eastAsia="zh-CN"/>
              </w:rPr>
              <w:t>5.培训：成交供应商对其提供产品或服务的使用和操作应尽培训义务。成交供应商应提供对采购人的基本培训，使采购人使用人员熟练掌握所培训内容，熟练掌握全部功能。</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交货时间及地点</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auto"/>
                <w:sz w:val="24"/>
                <w:lang w:val="en-US" w:eastAsia="zh-CN"/>
              </w:rPr>
            </w:pPr>
            <w:r>
              <w:rPr>
                <w:rFonts w:hint="eastAsia" w:ascii="仿宋_GB2312" w:hAnsi="仿宋_GB2312" w:cs="仿宋_GB2312"/>
                <w:bCs/>
                <w:color w:val="auto"/>
                <w:sz w:val="24"/>
                <w:lang w:val="en-US" w:eastAsia="zh-CN"/>
              </w:rPr>
              <w:t>1.</w:t>
            </w:r>
            <w:r>
              <w:rPr>
                <w:rFonts w:hint="eastAsia" w:ascii="仿宋_GB2312" w:hAnsi="仿宋_GB2312" w:eastAsia="仿宋_GB2312" w:cs="仿宋_GB2312"/>
                <w:bCs/>
                <w:color w:val="auto"/>
                <w:sz w:val="24"/>
              </w:rPr>
              <w:t>交货时间：自签订合同之日起</w:t>
            </w:r>
            <w:r>
              <w:rPr>
                <w:rFonts w:hint="eastAsia" w:ascii="仿宋_GB2312" w:hAnsi="仿宋_GB2312" w:cs="仿宋_GB2312"/>
                <w:bCs/>
                <w:color w:val="auto"/>
                <w:sz w:val="24"/>
                <w:lang w:val="en-US" w:eastAsia="zh-CN"/>
              </w:rPr>
              <w:t>10</w:t>
            </w:r>
            <w:r>
              <w:rPr>
                <w:rFonts w:hint="eastAsia" w:ascii="仿宋_GB2312" w:hAnsi="仿宋_GB2312" w:eastAsia="仿宋_GB2312" w:cs="仿宋_GB2312"/>
                <w:bCs/>
                <w:color w:val="auto"/>
                <w:sz w:val="24"/>
              </w:rPr>
              <w:t>日内安装调试完毕，验收合格并交付使用；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w:t>
            </w:r>
            <w:r>
              <w:rPr>
                <w:rFonts w:hint="eastAsia" w:ascii="仿宋_GB2312" w:hAnsi="仿宋_GB2312" w:cs="仿宋_GB2312"/>
                <w:bCs/>
                <w:color w:val="auto"/>
                <w:sz w:val="24"/>
                <w:lang w:val="en-US" w:eastAsia="zh-CN"/>
              </w:rPr>
              <w:t>.交货方式：现场交货，免费送货上门；不接受物流或者快递送货，发物流或者快递的需要供应商自己来接货，送到指定地点并负责卸货。</w:t>
            </w:r>
          </w:p>
          <w:p>
            <w:pPr>
              <w:numPr>
                <w:ilvl w:val="0"/>
                <w:numId w:val="0"/>
              </w:num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val="en-US" w:eastAsia="zh-CN"/>
              </w:rPr>
              <w:t>3.</w:t>
            </w:r>
            <w:r>
              <w:rPr>
                <w:rFonts w:hint="eastAsia" w:ascii="仿宋_GB2312" w:hAnsi="仿宋_GB2312" w:eastAsia="仿宋_GB2312" w:cs="仿宋_GB2312"/>
                <w:bCs/>
                <w:color w:val="auto"/>
                <w:sz w:val="24"/>
              </w:rPr>
              <w:t>交货地点：采购人指定地点</w:t>
            </w:r>
            <w:r>
              <w:rPr>
                <w:rFonts w:hint="eastAsia" w:ascii="仿宋_GB2312" w:hAnsi="仿宋_GB2312" w:cs="仿宋_GB2312"/>
                <w:bCs/>
                <w:color w:val="auto"/>
                <w:sz w:val="24"/>
                <w:lang w:eastAsia="zh-CN"/>
              </w:rPr>
              <w:t>。</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付款方式</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本项目无预付款，全部货物</w:t>
            </w:r>
            <w:r>
              <w:rPr>
                <w:rFonts w:hint="eastAsia" w:ascii="仿宋_GB2312" w:hAnsi="仿宋_GB2312" w:cs="仿宋_GB2312"/>
                <w:bCs/>
                <w:color w:val="auto"/>
                <w:sz w:val="24"/>
                <w:lang w:eastAsia="zh-CN"/>
              </w:rPr>
              <w:t>产品</w:t>
            </w:r>
            <w:r>
              <w:rPr>
                <w:rFonts w:hint="eastAsia" w:ascii="仿宋_GB2312" w:hAnsi="仿宋_GB2312" w:eastAsia="仿宋_GB2312" w:cs="仿宋_GB2312"/>
                <w:bCs/>
                <w:color w:val="auto"/>
                <w:sz w:val="24"/>
              </w:rPr>
              <w:t>到货安装且验收合格后，成交供应商</w:t>
            </w:r>
            <w:r>
              <w:rPr>
                <w:rFonts w:hint="eastAsia" w:ascii="仿宋_GB2312" w:hAnsi="仿宋_GB2312" w:cs="仿宋_GB2312"/>
                <w:bCs/>
                <w:color w:val="auto"/>
                <w:sz w:val="24"/>
                <w:lang w:eastAsia="zh-CN"/>
              </w:rPr>
              <w:t>应</w:t>
            </w:r>
            <w:r>
              <w:rPr>
                <w:rFonts w:hint="eastAsia" w:ascii="仿宋_GB2312" w:hAnsi="仿宋_GB2312" w:eastAsia="仿宋_GB2312" w:cs="仿宋_GB2312"/>
                <w:bCs/>
                <w:color w:val="auto"/>
                <w:sz w:val="24"/>
              </w:rPr>
              <w:t>开具增值税普通发票，采购人收到发票且经财政审批该项目用款计划后以银行转账方式向成交供应商一次性支付全部结算费用（不计利息）。采购人未收到发票的，有权不予支付相应款项直至成交供应商提供合格发票。</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hint="eastAsia" w:ascii="仿宋_GB2312" w:hAnsi="仿宋_GB2312" w:eastAsia="仿宋_GB2312" w:cs="仿宋_GB2312"/>
                <w:color w:val="auto"/>
                <w:sz w:val="24"/>
              </w:rPr>
              <w:t>备品备件及耗材等要求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3"/>
              </w:num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所提供零部件、配件及安装材料必须是符合国家规定质量安全标准的全新、合格产品；该项费用应包含在报价中；
</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2.</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所提供完整的全套设备须包括必备的易损耗备件和专用工具；</w:t>
            </w:r>
            <w:r>
              <w:rPr>
                <w:rFonts w:hint="eastAsia"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rPr>
              <w:t>3.</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rPr>
              <w:t>必须有完善的备品备件库体系，质保期内能提供相应的免费的措施和配件，保证过质保期后五年内有足够的备品备件，为完成本项目技术支持、服务需求提供可靠保证</w:t>
            </w:r>
            <w:r>
              <w:rPr>
                <w:rFonts w:hint="eastAsia" w:ascii="仿宋_GB2312" w:hAnsi="仿宋_GB2312" w:eastAsia="仿宋_GB2312" w:cs="仿宋_GB2312"/>
                <w:bCs/>
                <w:color w:val="auto"/>
                <w:sz w:val="24"/>
                <w:lang w:val="en-US" w:eastAsia="zh-CN"/>
              </w:rPr>
              <w:t>。</w:t>
            </w:r>
          </w:p>
        </w:tc>
        <w:tc>
          <w:tcPr>
            <w:tcW w:w="1155"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40" w:lineRule="exact"/>
              <w:jc w:val="left"/>
              <w:rPr>
                <w:rFonts w:hint="eastAsia" w:ascii="仿宋_GB2312" w:hAnsi="仿宋_GB2312" w:cs="仿宋_GB2312"/>
                <w:bCs/>
                <w:color w:val="auto"/>
                <w:sz w:val="52"/>
                <w:szCs w:val="5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42" w:rightChars="13"/>
              <w:rPr>
                <w:rFonts w:hint="eastAsia" w:eastAsia="仿宋_GB2312" w:cs="仿宋_GB2312" w:asciiTheme="minorHAnsi" w:hAnsiTheme="minorHAnsi"/>
                <w:bCs/>
                <w:color w:val="auto"/>
                <w:sz w:val="24"/>
                <w:lang w:val="en-GB"/>
              </w:rPr>
            </w:pPr>
            <w:r>
              <w:rPr>
                <w:rFonts w:ascii="仿宋_GB2312" w:hAnsi="宋体" w:eastAsia="仿宋_GB2312" w:cs="宋体"/>
                <w:b/>
                <w:color w:val="auto"/>
                <w:kern w:val="0"/>
                <w:sz w:val="24"/>
              </w:rPr>
              <w:t>★</w:t>
            </w:r>
            <w:r>
              <w:rPr>
                <w:rFonts w:hint="eastAsia" w:ascii="仿宋_GB2312" w:hAnsi="宋体" w:eastAsia="仿宋_GB2312" w:cs="Arial"/>
                <w:b/>
                <w:bCs/>
                <w:color w:val="auto"/>
                <w:sz w:val="24"/>
                <w:szCs w:val="24"/>
              </w:rPr>
              <w:t>三、</w:t>
            </w:r>
            <w:r>
              <w:rPr>
                <w:rFonts w:hint="eastAsia" w:ascii="仿宋_GB2312" w:hAnsi="宋体" w:eastAsia="仿宋_GB2312"/>
                <w:b/>
                <w:color w:val="auto"/>
                <w:sz w:val="24"/>
              </w:rPr>
              <w:t>验收要求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42" w:rightChars="13"/>
              <w:rPr>
                <w:rFonts w:ascii="仿宋_GB2312" w:hAnsi="宋体" w:eastAsia="仿宋_GB2312"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eastAsia="仿宋_GB2312" w:cs="Arial" w:asciiTheme="minorHAnsi" w:hAnsiTheme="minorHAnsi"/>
                <w:bCs/>
                <w:color w:val="auto"/>
                <w:sz w:val="24"/>
                <w:lang w:val="en-GB"/>
              </w:rPr>
            </w:pPr>
            <w:r>
              <w:rPr>
                <w:rFonts w:ascii="仿宋_GB2312" w:hAnsi="仿宋_GB2312" w:eastAsia="仿宋_GB2312" w:cs="仿宋_GB2312"/>
                <w:bCs/>
                <w:color w:val="auto"/>
                <w:sz w:val="24"/>
              </w:rPr>
              <w:t>验收标准及要求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auto"/>
                <w:sz w:val="24"/>
                <w:lang w:eastAsia="zh-CN"/>
              </w:rPr>
            </w:pPr>
            <w:r>
              <w:rPr>
                <w:rFonts w:ascii="仿宋_GB2312" w:hAnsi="仿宋_GB2312" w:eastAsia="仿宋_GB2312" w:cs="仿宋_GB2312"/>
                <w:bCs/>
                <w:color w:val="auto"/>
                <w:sz w:val="24"/>
              </w:rPr>
              <w:t>1.国家强制性技术标准及有关规定；
</w:t>
            </w:r>
            <w:r>
              <w:rPr>
                <w:rFonts w:ascii="仿宋_GB2312" w:hAnsi="仿宋_GB2312" w:eastAsia="仿宋_GB2312" w:cs="仿宋_GB2312"/>
                <w:bCs/>
                <w:color w:val="auto"/>
                <w:sz w:val="24"/>
              </w:rPr>
              <w:br w:type="textWrapping"/>
            </w:r>
            <w:r>
              <w:rPr>
                <w:rFonts w:ascii="仿宋_GB2312" w:hAnsi="仿宋_GB2312" w:eastAsia="仿宋_GB2312" w:cs="仿宋_GB2312"/>
                <w:bCs/>
                <w:color w:val="auto"/>
                <w:sz w:val="24"/>
              </w:rPr>
              <w:t>2.交货验收时，采购人根据《广西壮族自治区政府采购项目履约验收管理办法》的规定，由采购人及</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双方共同进行验收。必要时可委托国家认可的质量检测机构开展采购项目验收工作；
</w:t>
            </w:r>
            <w:r>
              <w:rPr>
                <w:rFonts w:ascii="仿宋_GB2312" w:hAnsi="仿宋_GB2312" w:eastAsia="仿宋_GB2312" w:cs="仿宋_GB2312"/>
                <w:bCs/>
                <w:color w:val="auto"/>
                <w:sz w:val="24"/>
              </w:rPr>
              <w:br w:type="textWrapping"/>
            </w:r>
            <w:r>
              <w:rPr>
                <w:rFonts w:ascii="仿宋_GB2312" w:hAnsi="仿宋_GB2312" w:eastAsia="仿宋_GB2312" w:cs="仿宋_GB2312"/>
                <w:bCs/>
                <w:color w:val="auto"/>
                <w:sz w:val="24"/>
              </w:rPr>
              <w:t>3.本项目因</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提供的货物</w:t>
            </w:r>
            <w:r>
              <w:rPr>
                <w:rFonts w:hint="eastAsia" w:ascii="仿宋_GB2312" w:hAnsi="仿宋_GB2312" w:cs="仿宋_GB2312"/>
                <w:bCs/>
                <w:color w:val="auto"/>
                <w:sz w:val="24"/>
                <w:lang w:eastAsia="zh-CN"/>
              </w:rPr>
              <w:t>产品</w:t>
            </w:r>
            <w:r>
              <w:rPr>
                <w:rFonts w:ascii="仿宋_GB2312" w:hAnsi="仿宋_GB2312" w:eastAsia="仿宋_GB2312" w:cs="仿宋_GB2312"/>
                <w:bCs/>
                <w:color w:val="auto"/>
                <w:sz w:val="24"/>
              </w:rPr>
              <w:t>不能满足采购需求的技术参数或其</w:t>
            </w:r>
            <w:r>
              <w:rPr>
                <w:rFonts w:hint="eastAsia" w:ascii="仿宋_GB2312" w:hAnsi="仿宋_GB2312" w:cs="仿宋_GB2312"/>
                <w:bCs/>
                <w:color w:val="auto"/>
                <w:sz w:val="24"/>
                <w:lang w:eastAsia="zh-CN"/>
              </w:rPr>
              <w:t>响应</w:t>
            </w:r>
            <w:r>
              <w:rPr>
                <w:rFonts w:ascii="仿宋_GB2312" w:hAnsi="仿宋_GB2312" w:eastAsia="仿宋_GB2312" w:cs="仿宋_GB2312"/>
                <w:bCs/>
                <w:color w:val="auto"/>
                <w:sz w:val="24"/>
              </w:rPr>
              <w:t>文件承诺等原因无法通过验收，造成不能按时、按质、按量完成项目要求的，将按照《中华人民共和国政府采购法》等法律法规由</w:t>
            </w:r>
            <w:r>
              <w:rPr>
                <w:rFonts w:hint="eastAsia" w:ascii="仿宋_GB2312" w:hAnsi="仿宋_GB2312" w:eastAsia="仿宋_GB2312" w:cs="仿宋_GB2312"/>
                <w:bCs/>
                <w:color w:val="auto"/>
                <w:sz w:val="24"/>
                <w:lang w:eastAsia="zh-CN"/>
              </w:rPr>
              <w:t>成交供应商</w:t>
            </w:r>
            <w:r>
              <w:rPr>
                <w:rFonts w:ascii="仿宋_GB2312" w:hAnsi="仿宋_GB2312" w:eastAsia="仿宋_GB2312" w:cs="仿宋_GB2312"/>
                <w:bCs/>
                <w:color w:val="auto"/>
                <w:sz w:val="24"/>
              </w:rPr>
              <w:t>承担相应的法律责任；
</w:t>
            </w:r>
            <w:r>
              <w:rPr>
                <w:rFonts w:ascii="仿宋_GB2312" w:hAnsi="仿宋_GB2312" w:eastAsia="仿宋_GB2312" w:cs="仿宋_GB2312"/>
                <w:bCs/>
                <w:color w:val="auto"/>
                <w:sz w:val="24"/>
              </w:rPr>
              <w:br w:type="textWrapping"/>
            </w:r>
            <w:r>
              <w:rPr>
                <w:rFonts w:hint="eastAsia" w:ascii="仿宋_GB2312" w:hAnsi="仿宋_GB2312" w:eastAsia="仿宋_GB2312" w:cs="仿宋_GB2312"/>
                <w:bCs/>
                <w:color w:val="auto"/>
                <w:sz w:val="24"/>
                <w:lang w:eastAsia="zh-CN"/>
              </w:rPr>
              <w:t>4.为保障项目建设交付效率及质量</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采购人应当及时对采购项目进行验收，采购人可以邀请参加本项目的其他</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lang w:eastAsia="zh-CN"/>
              </w:rPr>
              <w:t>或第三方机构参与验收，与验收的</w:t>
            </w:r>
            <w:r>
              <w:rPr>
                <w:rFonts w:hint="eastAsia" w:ascii="仿宋_GB2312" w:hAnsi="仿宋_GB2312" w:cs="仿宋_GB2312"/>
                <w:bCs/>
                <w:color w:val="auto"/>
                <w:sz w:val="24"/>
                <w:lang w:eastAsia="zh-CN"/>
              </w:rPr>
              <w:t>供应商</w:t>
            </w:r>
            <w:r>
              <w:rPr>
                <w:rFonts w:hint="eastAsia" w:ascii="仿宋_GB2312" w:hAnsi="仿宋_GB2312" w:eastAsia="仿宋_GB2312" w:cs="仿宋_GB2312"/>
                <w:bCs/>
                <w:color w:val="auto"/>
                <w:sz w:val="24"/>
                <w:lang w:eastAsia="zh-CN"/>
              </w:rPr>
              <w:t>或者第三方机构的意见作为验收书的参考资料一并存档；</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5.实际货物或服务技术参数与成交供应商响应文件中技术响应表、商务响应表或证明材料一致，性能或指标达到采购文件中的技术要求。否则，以实际货物或服务的技术参数与响应文件技术响应表、商务响应表或证明材料比较，按如下情况处理：</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w:t>
            </w:r>
            <w:r>
              <w:rPr>
                <w:rFonts w:hint="eastAsia" w:ascii="仿宋_GB2312" w:hAnsi="仿宋_GB2312" w:cs="仿宋_GB2312"/>
                <w:bCs/>
                <w:color w:val="auto"/>
                <w:sz w:val="24"/>
                <w:lang w:val="en-US" w:eastAsia="zh-CN"/>
              </w:rPr>
              <w:t>1</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成交供应商响应文件技术响应表、商务响应表或证明材料中满足或优于的技术参数，在验收时实际不满足采购文件中的技术要求或者仅满足并未优于技术要求的，视为成交供应商违约，采购人有权终止合同拒收货物，并追究成交供应商责任，同时报财政部门备案。</w:t>
            </w:r>
          </w:p>
          <w:p>
            <w:pPr>
              <w:spacing w:line="440" w:lineRule="exact"/>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eastAsia="zh-CN"/>
              </w:rPr>
              <w:t>（</w:t>
            </w:r>
            <w:r>
              <w:rPr>
                <w:rFonts w:hint="eastAsia" w:ascii="仿宋_GB2312" w:hAnsi="仿宋_GB2312" w:cs="仿宋_GB2312"/>
                <w:bCs/>
                <w:color w:val="auto"/>
                <w:sz w:val="24"/>
                <w:lang w:val="en-US" w:eastAsia="zh-CN"/>
              </w:rPr>
              <w:t>2</w:t>
            </w:r>
            <w:r>
              <w:rPr>
                <w:rFonts w:hint="eastAsia" w:ascii="仿宋_GB2312" w:hAnsi="仿宋_GB2312" w:cs="仿宋_GB2312"/>
                <w:bCs/>
                <w:color w:val="auto"/>
                <w:sz w:val="24"/>
                <w:lang w:eastAsia="zh-CN"/>
              </w:rPr>
              <w:t>）</w:t>
            </w:r>
            <w:r>
              <w:rPr>
                <w:rFonts w:hint="eastAsia" w:ascii="仿宋_GB2312" w:hAnsi="仿宋_GB2312" w:eastAsia="仿宋_GB2312" w:cs="仿宋_GB2312"/>
                <w:bCs/>
                <w:color w:val="auto"/>
                <w:sz w:val="24"/>
                <w:lang w:eastAsia="zh-CN"/>
              </w:rPr>
              <w:t>实际货物与响应货物型号不一致的，验收时不论实际是优于还是满足技术参数的要求，采购人均有权终止合同拒收货物。如影响货物或服务的使用、质量、档次及采购人需求的，视为成交供应商违约，追究成交供应商责任，同时报财政部门备案。</w:t>
            </w:r>
          </w:p>
          <w:p>
            <w:pPr>
              <w:spacing w:line="440" w:lineRule="exact"/>
              <w:ind w:right="42" w:rightChars="13"/>
              <w:jc w:val="left"/>
              <w:rPr>
                <w:rFonts w:hint="eastAsia" w:ascii="仿宋_GB2312" w:hAnsi="仿宋_GB2312" w:eastAsia="仿宋_GB2312" w:cs="仿宋_GB2312"/>
                <w:bCs/>
                <w:color w:val="auto"/>
                <w:sz w:val="24"/>
                <w:lang w:eastAsia="zh-CN"/>
              </w:rPr>
            </w:pPr>
            <w:r>
              <w:rPr>
                <w:rFonts w:hint="eastAsia" w:ascii="仿宋_GB2312" w:hAnsi="仿宋_GB2312" w:cs="仿宋_GB2312"/>
                <w:bCs/>
                <w:color w:val="auto"/>
                <w:sz w:val="24"/>
                <w:lang w:val="en-US" w:eastAsia="zh-CN"/>
              </w:rPr>
              <w:t>6</w:t>
            </w:r>
            <w:r>
              <w:rPr>
                <w:rFonts w:hint="eastAsia" w:ascii="仿宋_GB2312" w:hAnsi="仿宋_GB2312" w:eastAsia="仿宋_GB2312" w:cs="仿宋_GB2312"/>
                <w:bCs/>
                <w:color w:val="auto"/>
                <w:sz w:val="24"/>
                <w:lang w:eastAsia="zh-CN"/>
              </w:rPr>
              <w:t>.验收费用：验收所产生的检验费及相关的全部费用均由成交供应商承担。</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cs="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502" w:rightChars="-157"/>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四、</w:t>
            </w:r>
            <w:r>
              <w:rPr>
                <w:rFonts w:hint="eastAsia" w:ascii="仿宋_GB2312" w:hAnsi="宋体" w:eastAsia="仿宋_GB2312"/>
                <w:b/>
                <w:color w:val="auto"/>
                <w:sz w:val="24"/>
              </w:rPr>
              <w:t>资信要求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502" w:rightChars="-157"/>
              <w:rPr>
                <w:rFonts w:hint="eastAsia" w:ascii="仿宋_GB2312" w:hAnsi="宋体" w:eastAsia="仿宋_GB2312" w:cs="Arial"/>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质量管理、企业信用要求（如有） </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pStyle w:val="22"/>
              <w:spacing w:before="0" w:beforeAutospacing="0" w:after="0" w:afterAutospacing="0" w:line="460" w:lineRule="atLeast"/>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具备有效的质量管理体系认证证书；</w:t>
            </w:r>
          </w:p>
          <w:p>
            <w:pPr>
              <w:pStyle w:val="2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具备有效的职业健康安全管理体系认证证书；</w:t>
            </w:r>
          </w:p>
          <w:p>
            <w:pPr>
              <w:pStyle w:val="24"/>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w:t>
            </w:r>
            <w:r>
              <w:rPr>
                <w:rFonts w:hint="eastAsia" w:ascii="仿宋_GB2312" w:eastAsia="仿宋_GB2312"/>
                <w:color w:val="auto"/>
                <w:lang w:eastAsia="zh-CN"/>
              </w:rPr>
              <w:t>供应商</w:t>
            </w:r>
            <w:r>
              <w:rPr>
                <w:rFonts w:hint="eastAsia" w:ascii="仿宋_GB2312" w:eastAsia="仿宋_GB2312"/>
                <w:color w:val="auto"/>
              </w:rPr>
              <w:t>或</w:t>
            </w:r>
            <w:r>
              <w:rPr>
                <w:rFonts w:hint="eastAsia" w:ascii="仿宋_GB2312" w:eastAsia="仿宋_GB2312"/>
                <w:color w:val="auto"/>
                <w:lang w:eastAsia="zh-CN"/>
              </w:rPr>
              <w:t>所投核心</w:t>
            </w:r>
            <w:r>
              <w:rPr>
                <w:rFonts w:hint="eastAsia" w:ascii="仿宋_GB2312" w:eastAsia="仿宋_GB2312"/>
                <w:color w:val="auto"/>
              </w:rPr>
              <w:t>产品生产厂</w:t>
            </w:r>
            <w:r>
              <w:rPr>
                <w:rFonts w:hint="eastAsia" w:ascii="仿宋_GB2312" w:hAnsi="仿宋_GB2312" w:eastAsia="仿宋_GB2312" w:cs="仿宋_GB2312"/>
                <w:color w:val="auto"/>
              </w:rPr>
              <w:t>商</w:t>
            </w:r>
            <w:r>
              <w:rPr>
                <w:rFonts w:hint="eastAsia" w:ascii="仿宋_GB2312" w:eastAsia="仿宋_GB2312"/>
                <w:color w:val="auto"/>
              </w:rPr>
              <w:t>具备有效的环境管理体系认证证书。</w:t>
            </w:r>
          </w:p>
        </w:tc>
        <w:tc>
          <w:tcPr>
            <w:tcW w:w="1155" w:type="dxa"/>
            <w:tcBorders>
              <w:top w:val="single" w:color="auto" w:sz="4" w:space="0"/>
              <w:left w:val="single" w:color="auto" w:sz="4" w:space="0"/>
              <w:bottom w:val="single" w:color="auto" w:sz="4" w:space="0"/>
              <w:right w:val="single" w:color="auto" w:sz="4" w:space="0"/>
            </w:tcBorders>
            <w:vAlign w:val="center"/>
          </w:tcPr>
          <w:p>
            <w:pPr>
              <w:pStyle w:val="24"/>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97" w:type="dxa"/>
            <w:gridSpan w:val="5"/>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502" w:rightChars="-157"/>
              <w:rPr>
                <w:rFonts w:hint="eastAsia" w:ascii="仿宋_GB2312" w:hAnsi="宋体" w:eastAsia="仿宋_GB2312" w:cs="宋体"/>
                <w:bCs/>
                <w:color w:val="auto"/>
                <w:sz w:val="24"/>
                <w:lang w:eastAsia="zh-CN"/>
              </w:rPr>
            </w:pPr>
            <w:r>
              <w:rPr>
                <w:rFonts w:hint="eastAsia" w:ascii="仿宋_GB2312" w:hAnsi="宋体" w:eastAsia="仿宋_GB2312"/>
                <w:b/>
                <w:bCs/>
                <w:color w:val="auto"/>
                <w:sz w:val="24"/>
              </w:rPr>
              <w:t>五、</w:t>
            </w:r>
            <w:r>
              <w:rPr>
                <w:rFonts w:hint="eastAsia" w:ascii="仿宋_GB2312" w:hAnsi="宋体"/>
                <w:b/>
                <w:bCs/>
                <w:color w:val="auto"/>
                <w:sz w:val="24"/>
                <w:lang w:eastAsia="zh-CN"/>
              </w:rPr>
              <w:t>其他要求</w:t>
            </w:r>
          </w:p>
        </w:tc>
        <w:tc>
          <w:tcPr>
            <w:tcW w:w="1155" w:type="dxa"/>
            <w:tcBorders>
              <w:top w:val="single" w:color="auto" w:sz="4" w:space="0"/>
              <w:left w:val="single" w:color="auto" w:sz="4" w:space="0"/>
              <w:bottom w:val="single" w:color="auto" w:sz="4" w:space="0"/>
              <w:right w:val="single" w:color="auto" w:sz="4" w:space="0"/>
            </w:tcBorders>
            <w:vAlign w:val="center"/>
          </w:tcPr>
          <w:p>
            <w:pPr>
              <w:pStyle w:val="7"/>
              <w:snapToGrid w:val="0"/>
              <w:spacing w:line="400" w:lineRule="exact"/>
              <w:ind w:right="-502" w:rightChars="-157"/>
              <w:rPr>
                <w:rFonts w:hint="eastAsia"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163" w:rightChars="-51"/>
              <w:jc w:val="left"/>
              <w:rPr>
                <w:rFonts w:hint="eastAsia" w:ascii="仿宋_GB2312" w:hAnsi="宋体" w:eastAsia="仿宋_GB2312" w:cs="Arial"/>
                <w:bCs/>
                <w:color w:val="auto"/>
                <w:sz w:val="24"/>
              </w:rPr>
            </w:pPr>
            <w:r>
              <w:rPr>
                <w:rFonts w:hint="eastAsia" w:ascii="仿宋_GB2312" w:hAnsi="宋体" w:eastAsia="仿宋_GB2312"/>
                <w:b/>
                <w:bCs/>
                <w:color w:val="auto"/>
                <w:sz w:val="24"/>
              </w:rPr>
              <w:t>注意事项</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1、合同签订</w:t>
            </w:r>
            <w:r>
              <w:rPr>
                <w:rFonts w:hint="eastAsia" w:ascii="仿宋_GB2312" w:hAnsi="仿宋_GB2312" w:eastAsia="仿宋_GB2312" w:cs="仿宋_GB2312"/>
                <w:color w:val="auto"/>
                <w:sz w:val="24"/>
                <w:szCs w:val="24"/>
                <w:highlight w:val="none"/>
                <w:vertAlign w:val="baseline"/>
                <w:lang w:val="en-US" w:eastAsia="zh-CN"/>
              </w:rPr>
              <w:t>期：自</w:t>
            </w:r>
            <w:r>
              <w:rPr>
                <w:rFonts w:hint="eastAsia" w:ascii="仿宋_GB2312" w:hAnsi="仿宋_GB2312" w:cs="仿宋_GB2312"/>
                <w:color w:val="auto"/>
                <w:sz w:val="24"/>
                <w:szCs w:val="24"/>
                <w:highlight w:val="none"/>
                <w:vertAlign w:val="baseline"/>
                <w:lang w:val="en-US" w:eastAsia="zh-CN"/>
              </w:rPr>
              <w:t>采购结果公告</w:t>
            </w:r>
            <w:r>
              <w:rPr>
                <w:rFonts w:hint="eastAsia" w:ascii="仿宋_GB2312" w:hAnsi="仿宋_GB2312" w:eastAsia="仿宋_GB2312" w:cs="仿宋_GB2312"/>
                <w:color w:val="auto"/>
                <w:sz w:val="24"/>
                <w:szCs w:val="24"/>
                <w:highlight w:val="none"/>
                <w:vertAlign w:val="baseline"/>
                <w:lang w:val="en-US" w:eastAsia="zh-CN"/>
              </w:rPr>
              <w:t>发</w:t>
            </w:r>
            <w:r>
              <w:rPr>
                <w:rFonts w:hint="eastAsia" w:ascii="仿宋_GB2312" w:hAnsi="仿宋_GB2312" w:eastAsia="仿宋_GB2312" w:cs="仿宋_GB2312"/>
                <w:color w:val="auto"/>
                <w:sz w:val="24"/>
                <w:szCs w:val="24"/>
                <w:vertAlign w:val="baseline"/>
                <w:lang w:val="en-US" w:eastAsia="zh-CN"/>
              </w:rPr>
              <w:t>出之日起10日内。</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如成交供应商未与采购人沟通、未经采购人同意、未告知采购人送货方式等情况下，直接以快递或物流的方式发送货物，如出现货物丢失、货物损坏、货物长时间未接收等一系列问题，全部由成交供应商负责。</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为保证货物原装正品及防虚假参数应标，在签订合同前提供所投产品参数如果有要求提供参数确认函及售后服务承诺函，必须提供（需加盖供应商鲜章）核实，否则报价无效；如无法提供，采购人有权单方面取消</w:t>
            </w:r>
            <w:r>
              <w:rPr>
                <w:rFonts w:hint="eastAsia" w:ascii="仿宋_GB2312" w:hAnsi="仿宋_GB2312" w:cs="仿宋_GB2312"/>
                <w:color w:val="auto"/>
                <w:sz w:val="24"/>
                <w:szCs w:val="24"/>
                <w:vertAlign w:val="baseline"/>
                <w:lang w:val="en-US" w:eastAsia="zh-CN"/>
              </w:rPr>
              <w:t>成交</w:t>
            </w:r>
            <w:r>
              <w:rPr>
                <w:rFonts w:hint="eastAsia" w:ascii="仿宋_GB2312" w:hAnsi="仿宋_GB2312" w:eastAsia="仿宋_GB2312" w:cs="仿宋_GB2312"/>
                <w:color w:val="auto"/>
                <w:sz w:val="24"/>
                <w:szCs w:val="24"/>
                <w:vertAlign w:val="baseline"/>
                <w:lang w:val="en-US" w:eastAsia="zh-CN"/>
              </w:rPr>
              <w:t xml:space="preserve">并拒绝签订合同，并按规定对供应商予以虚假应标处罚，和进行网上通报处理，列入不良行为记录在档。 </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4、成交供应商必须实质性能够满足产品带</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color w:val="auto"/>
                <w:sz w:val="24"/>
                <w:szCs w:val="24"/>
                <w:vertAlign w:val="baseline"/>
                <w:lang w:val="en-US" w:eastAsia="zh-CN"/>
              </w:rPr>
              <w:t>参数要求，一旦发现虚假响应，即使确认成交也将被取消供货资格，采购人有权追究恶意扰乱规则的供应商责任，并向政府采购监管平台投诉。（在报价前请仔细评估自身履约能力，谢绝恶意低价、不按要求报价、成交后无故放弃、不按合同履行等违约行为。对出现此类行为的预成交供应商，采购人将根据报价询价违约处理规则，依法依规提请政采云平台进行处罚，处罚内容包括停止推送报价信息、禁止报价等，并记入政府采购诚信档案等。）</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4、如需求有差异，以采购人实际需求为准，成交供应商免费退换货，调货，不得增加费用。</w:t>
            </w:r>
          </w:p>
          <w:p>
            <w:pPr>
              <w:keepNext w:val="0"/>
              <w:keepLines w:val="0"/>
              <w:pageBreakBefore w:val="0"/>
              <w:widowControl w:val="0"/>
              <w:numPr>
                <w:ilvl w:val="0"/>
                <w:numId w:val="0"/>
              </w:numPr>
              <w:kinsoku/>
              <w:wordWrap/>
              <w:overflowPunct/>
              <w:topLinePunct w:val="0"/>
              <w:bidi w:val="0"/>
              <w:adjustRightInd/>
              <w:snapToGrid/>
              <w:spacing w:line="400" w:lineRule="exact"/>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验收条件及标准：采购人对成交供应商所交货物必须依照采购文件上的技术规格实质要求和国家有关标准验收，进行现场测试比对，达到要求的方可验收。如因成交供应商虚假应标而造成采购人损失的，成交供应商应承担相应法律责任，并赔偿因此而造成的采购人的损失</w:t>
            </w:r>
          </w:p>
          <w:p>
            <w:pPr>
              <w:spacing w:line="440" w:lineRule="exact"/>
              <w:ind w:right="42" w:rightChars="13"/>
              <w:jc w:val="left"/>
              <w:rPr>
                <w:rFonts w:hint="eastAsia" w:ascii="仿宋_GB2312" w:hAnsi="宋体" w:eastAsia="仿宋_GB2312" w:cs="Arial"/>
                <w:bCs/>
                <w:color w:val="auto"/>
                <w:sz w:val="24"/>
                <w:lang w:eastAsia="zh-CN"/>
              </w:rPr>
            </w:pPr>
            <w:r>
              <w:rPr>
                <w:rFonts w:hint="eastAsia" w:ascii="仿宋_GB2312" w:hAnsi="仿宋_GB2312" w:eastAsia="仿宋_GB2312" w:cs="仿宋_GB2312"/>
                <w:color w:val="auto"/>
                <w:sz w:val="24"/>
                <w:szCs w:val="24"/>
                <w:vertAlign w:val="baseline"/>
                <w:lang w:val="en-US" w:eastAsia="zh-CN"/>
              </w:rPr>
              <w:t>6.</w:t>
            </w:r>
            <w:r>
              <w:rPr>
                <w:rFonts w:hint="eastAsia" w:ascii="仿宋_GB2312" w:hAnsi="仿宋_GB2312" w:eastAsia="仿宋_GB2312" w:cs="仿宋_GB2312"/>
                <w:b/>
                <w:bCs/>
                <w:color w:val="auto"/>
                <w:sz w:val="24"/>
                <w:szCs w:val="24"/>
                <w:vertAlign w:val="baseline"/>
                <w:lang w:val="en-US" w:eastAsia="zh-CN"/>
              </w:rPr>
              <w:t>本项目需求(含技术需求及商务需求)均不允许负偏离，出现负偏离则被认为是实质性要求和条件不响应，作报价无效处理。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center"/>
              <w:rPr>
                <w:rFonts w:hint="eastAsia" w:ascii="仿宋_GB2312" w:hAnsi="宋体" w:eastAsia="仿宋_GB2312" w:cs="Arial"/>
                <w:bCs/>
                <w:color w:val="auto"/>
                <w:sz w:val="24"/>
              </w:rPr>
            </w:pPr>
            <w:r>
              <w:rPr>
                <w:rFonts w:hint="eastAsia" w:ascii="仿宋" w:hAnsi="仿宋" w:eastAsia="仿宋" w:cs="仿宋"/>
                <w:b/>
                <w:bCs w:val="0"/>
                <w:color w:val="auto"/>
                <w:sz w:val="21"/>
                <w:szCs w:val="21"/>
              </w:rPr>
              <w:t>响应文件要求</w:t>
            </w:r>
          </w:p>
        </w:tc>
        <w:tc>
          <w:tcPr>
            <w:tcW w:w="78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为法人或者其他组织的提供其营业执照等证明文件（如营业执照或者事业单位法人证书等）。</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未被列入失信被执行人、重大税收违法案件当事人名单、政府采购严重违法失信行为记录名单，且符合《中华人民共和国政府采购法》第二十二条规定的资格条件。提供信用中国信用信息报告。</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3、提供技术要求偏离表（格式后附）。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4、提供商务要求偏离表（格式后附）。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5、提供</w:t>
            </w:r>
            <w:r>
              <w:rPr>
                <w:rFonts w:hint="eastAsia" w:ascii="仿宋_GB2312" w:hAnsi="仿宋_GB2312" w:eastAsia="仿宋_GB2312" w:cs="仿宋_GB2312"/>
                <w:bCs/>
                <w:color w:val="auto"/>
                <w:sz w:val="24"/>
                <w:szCs w:val="24"/>
                <w:lang w:val="en-US" w:eastAsia="zh-CN"/>
              </w:rPr>
              <w:t>报</w:t>
            </w:r>
            <w:r>
              <w:rPr>
                <w:rFonts w:hint="eastAsia" w:ascii="仿宋_GB2312" w:hAnsi="仿宋_GB2312" w:eastAsia="仿宋_GB2312" w:cs="仿宋_GB2312"/>
                <w:bCs/>
                <w:color w:val="auto"/>
                <w:sz w:val="24"/>
                <w:szCs w:val="24"/>
              </w:rPr>
              <w:t>价一览表（格式后附）。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6、提供参加本项目无围标串标行为的承诺函（格式后附）。</w:t>
            </w:r>
            <w:r>
              <w:rPr>
                <w:rFonts w:hint="eastAsia" w:ascii="仿宋_GB2312" w:hAnsi="仿宋_GB2312" w:eastAsia="仿宋_GB2312" w:cs="仿宋_GB2312"/>
                <w:b/>
                <w:bCs/>
                <w:color w:val="auto"/>
                <w:sz w:val="24"/>
                <w:szCs w:val="24"/>
              </w:rPr>
              <w:t>（必须提供，否则</w:t>
            </w:r>
            <w:r>
              <w:rPr>
                <w:rFonts w:hint="eastAsia" w:ascii="仿宋_GB2312" w:hAnsi="仿宋_GB2312" w:eastAsia="仿宋_GB2312" w:cs="仿宋_GB2312"/>
                <w:b/>
                <w:bCs/>
                <w:color w:val="auto"/>
                <w:sz w:val="24"/>
                <w:szCs w:val="24"/>
                <w:lang w:val="en-US" w:eastAsia="zh-CN"/>
              </w:rPr>
              <w:t>报</w:t>
            </w:r>
            <w:r>
              <w:rPr>
                <w:rFonts w:hint="eastAsia" w:ascii="仿宋_GB2312" w:hAnsi="仿宋_GB2312" w:eastAsia="仿宋_GB2312" w:cs="仿宋_GB2312"/>
                <w:b/>
                <w:bCs/>
                <w:color w:val="auto"/>
                <w:sz w:val="24"/>
                <w:szCs w:val="24"/>
              </w:rPr>
              <w:t>价按无效响应处理）</w:t>
            </w:r>
          </w:p>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7、</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认为需要提供的其他有关资料。</w:t>
            </w:r>
          </w:p>
          <w:p>
            <w:pPr>
              <w:spacing w:line="440" w:lineRule="exact"/>
              <w:ind w:right="42" w:rightChars="13"/>
              <w:jc w:val="left"/>
              <w:rPr>
                <w:rFonts w:hint="eastAsia" w:ascii="仿宋_GB2312" w:hAnsi="宋体" w:eastAsia="仿宋_GB2312" w:cs="Arial"/>
                <w:bCs/>
                <w:color w:val="auto"/>
                <w:sz w:val="24"/>
              </w:rPr>
            </w:pPr>
            <w:r>
              <w:rPr>
                <w:rFonts w:hint="eastAsia" w:ascii="仿宋_GB2312" w:hAnsi="仿宋_GB2312" w:eastAsia="仿宋_GB2312" w:cs="仿宋_GB2312"/>
                <w:bCs/>
                <w:color w:val="auto"/>
                <w:sz w:val="24"/>
                <w:szCs w:val="24"/>
              </w:rPr>
              <w:t>8、以上标明“必须提供”的材料，必须加盖</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公章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否则</w:t>
            </w:r>
            <w:r>
              <w:rPr>
                <w:rFonts w:hint="eastAsia" w:ascii="仿宋_GB2312" w:hAnsi="仿宋_GB2312" w:eastAsia="仿宋_GB2312" w:cs="仿宋_GB2312"/>
                <w:bCs/>
                <w:color w:val="auto"/>
                <w:sz w:val="24"/>
                <w:szCs w:val="24"/>
                <w:lang w:val="en-US" w:eastAsia="zh-CN"/>
              </w:rPr>
              <w:t>报</w:t>
            </w:r>
            <w:r>
              <w:rPr>
                <w:rFonts w:hint="eastAsia" w:ascii="仿宋_GB2312" w:hAnsi="仿宋_GB2312" w:eastAsia="仿宋_GB2312" w:cs="仿宋_GB2312"/>
                <w:bCs/>
                <w:color w:val="auto"/>
                <w:sz w:val="24"/>
                <w:szCs w:val="24"/>
              </w:rPr>
              <w:t>价按无效响应处理。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40" w:lineRule="exact"/>
              <w:ind w:right="42" w:rightChars="13"/>
              <w:jc w:val="left"/>
              <w:rPr>
                <w:rFonts w:hint="eastAsia" w:ascii="仿宋_GB2312" w:hAnsi="仿宋_GB2312" w:eastAsia="仿宋_GB2312" w:cs="仿宋_GB2312"/>
                <w:bCs/>
                <w:color w:val="auto"/>
                <w:sz w:val="24"/>
                <w:szCs w:val="24"/>
              </w:rPr>
            </w:pPr>
          </w:p>
        </w:tc>
      </w:tr>
    </w:tbl>
    <w:p>
      <w:pPr>
        <w:spacing w:line="360" w:lineRule="auto"/>
        <w:rPr>
          <w:rFonts w:ascii="仿宋_GB2312" w:eastAsia="仿宋_GB2312"/>
          <w:color w:val="auto"/>
          <w:sz w:val="24"/>
        </w:rPr>
      </w:pPr>
    </w:p>
    <w:p>
      <w:pPr>
        <w:spacing w:line="360" w:lineRule="auto"/>
        <w:contextualSpacing/>
        <w:jc w:val="center"/>
        <w:rPr>
          <w:rFonts w:hint="eastAsia" w:ascii="宋体" w:hAnsi="宋体" w:cs="宋体"/>
          <w:b/>
          <w:color w:val="auto"/>
          <w:sz w:val="32"/>
          <w:szCs w:val="32"/>
        </w:rPr>
      </w:pPr>
      <w:r>
        <w:rPr>
          <w:rFonts w:hint="eastAsia" w:cs="仿宋_GB2312"/>
          <w:caps w:val="0"/>
          <w:color w:val="auto"/>
          <w:sz w:val="28"/>
          <w:szCs w:val="28"/>
          <w:highlight w:val="none"/>
          <w:lang w:val="en-US" w:eastAsia="zh-CN"/>
        </w:rPr>
        <w:br w:type="page"/>
      </w:r>
      <w:r>
        <w:rPr>
          <w:rFonts w:hint="eastAsia" w:ascii="宋体" w:hAnsi="宋体" w:cs="宋体"/>
          <w:b/>
          <w:color w:val="auto"/>
          <w:sz w:val="32"/>
          <w:szCs w:val="32"/>
        </w:rPr>
        <w:t>技术要求偏离表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326"/>
        <w:gridCol w:w="3327"/>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序号</w:t>
            </w:r>
          </w:p>
        </w:tc>
        <w:tc>
          <w:tcPr>
            <w:tcW w:w="2976"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技术要求</w:t>
            </w:r>
          </w:p>
        </w:tc>
        <w:tc>
          <w:tcPr>
            <w:tcW w:w="2977" w:type="dxa"/>
            <w:noWrap w:val="0"/>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rPr>
              <w:t>供应商</w:t>
            </w:r>
            <w:r>
              <w:rPr>
                <w:rFonts w:hint="eastAsia" w:ascii="宋体" w:hAnsi="宋体" w:cs="宋体"/>
                <w:color w:val="auto"/>
                <w:sz w:val="24"/>
                <w:lang w:val="en-US" w:eastAsia="zh-CN"/>
              </w:rPr>
              <w:t>响应</w:t>
            </w:r>
          </w:p>
        </w:tc>
        <w:tc>
          <w:tcPr>
            <w:tcW w:w="140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center"/>
          </w:tcPr>
          <w:p>
            <w:pPr>
              <w:spacing w:line="600" w:lineRule="exact"/>
              <w:jc w:val="center"/>
              <w:rPr>
                <w:rFonts w:hint="eastAsia" w:ascii="宋体" w:hAnsi="宋体" w:cs="宋体"/>
                <w:color w:val="auto"/>
                <w:sz w:val="24"/>
              </w:rPr>
            </w:pPr>
          </w:p>
        </w:tc>
        <w:tc>
          <w:tcPr>
            <w:tcW w:w="2977" w:type="dxa"/>
            <w:noWrap w:val="0"/>
            <w:vAlign w:val="center"/>
          </w:tcPr>
          <w:p>
            <w:pPr>
              <w:spacing w:line="600" w:lineRule="exact"/>
              <w:jc w:val="center"/>
              <w:rPr>
                <w:rFonts w:hint="eastAsia" w:ascii="宋体" w:hAnsi="宋体" w:cs="宋体"/>
                <w:color w:val="auto"/>
                <w:sz w:val="24"/>
              </w:rPr>
            </w:pPr>
          </w:p>
        </w:tc>
        <w:tc>
          <w:tcPr>
            <w:tcW w:w="1407" w:type="dxa"/>
            <w:noWrap w:val="0"/>
            <w:vAlign w:val="center"/>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top"/>
          </w:tcPr>
          <w:p>
            <w:pPr>
              <w:spacing w:line="600" w:lineRule="exact"/>
              <w:jc w:val="center"/>
              <w:rPr>
                <w:rFonts w:hint="eastAsia" w:ascii="宋体" w:hAnsi="宋体" w:cs="宋体"/>
                <w:color w:val="auto"/>
                <w:sz w:val="24"/>
              </w:rPr>
            </w:pPr>
          </w:p>
        </w:tc>
        <w:tc>
          <w:tcPr>
            <w:tcW w:w="2976" w:type="dxa"/>
            <w:noWrap w:val="0"/>
            <w:vAlign w:val="top"/>
          </w:tcPr>
          <w:p>
            <w:pPr>
              <w:spacing w:line="600" w:lineRule="exact"/>
              <w:jc w:val="center"/>
              <w:rPr>
                <w:rFonts w:hint="eastAsia" w:ascii="宋体" w:hAnsi="宋体" w:cs="宋体"/>
                <w:color w:val="auto"/>
                <w:sz w:val="24"/>
              </w:rPr>
            </w:pPr>
          </w:p>
        </w:tc>
        <w:tc>
          <w:tcPr>
            <w:tcW w:w="2977" w:type="dxa"/>
            <w:noWrap w:val="0"/>
            <w:vAlign w:val="top"/>
          </w:tcPr>
          <w:p>
            <w:pPr>
              <w:spacing w:line="600" w:lineRule="exact"/>
              <w:jc w:val="center"/>
              <w:rPr>
                <w:rFonts w:hint="eastAsia" w:ascii="宋体" w:hAnsi="宋体" w:cs="宋体"/>
                <w:color w:val="auto"/>
                <w:sz w:val="24"/>
              </w:rPr>
            </w:pPr>
          </w:p>
        </w:tc>
        <w:tc>
          <w:tcPr>
            <w:tcW w:w="1407" w:type="dxa"/>
            <w:noWrap w:val="0"/>
            <w:vAlign w:val="top"/>
          </w:tcPr>
          <w:p>
            <w:pPr>
              <w:spacing w:line="600" w:lineRule="exact"/>
              <w:jc w:val="center"/>
              <w:rPr>
                <w:rFonts w:hint="eastAsia" w:ascii="宋体" w:hAnsi="宋体" w:cs="宋体"/>
                <w:color w:val="auto"/>
                <w:sz w:val="24"/>
              </w:rPr>
            </w:pPr>
          </w:p>
        </w:tc>
      </w:tr>
    </w:tbl>
    <w:p>
      <w:pPr>
        <w:spacing w:line="360" w:lineRule="auto"/>
        <w:rPr>
          <w:rFonts w:hint="eastAsia" w:ascii="宋体" w:hAnsi="宋体" w:cs="宋体"/>
          <w:b/>
          <w:bCs/>
          <w:color w:val="auto"/>
          <w:kern w:val="0"/>
          <w:sz w:val="24"/>
        </w:rPr>
      </w:pPr>
    </w:p>
    <w:p>
      <w:pPr>
        <w:spacing w:line="360" w:lineRule="auto"/>
        <w:rPr>
          <w:rFonts w:hint="eastAsia" w:ascii="宋体" w:hAnsi="宋体" w:cs="宋体"/>
          <w:b/>
          <w:bCs/>
          <w:color w:val="auto"/>
          <w:kern w:val="0"/>
          <w:sz w:val="24"/>
        </w:rPr>
      </w:pPr>
      <w:r>
        <w:rPr>
          <w:rFonts w:hint="eastAsia" w:ascii="宋体" w:hAnsi="宋体" w:cs="宋体"/>
          <w:b/>
          <w:bCs/>
          <w:color w:val="auto"/>
          <w:kern w:val="0"/>
          <w:sz w:val="24"/>
        </w:rPr>
        <w:t>注：</w:t>
      </w:r>
    </w:p>
    <w:p>
      <w:pPr>
        <w:spacing w:line="360" w:lineRule="auto"/>
        <w:ind w:firstLine="480" w:firstLineChars="200"/>
        <w:rPr>
          <w:rFonts w:hint="eastAsia" w:ascii="宋体" w:hAnsi="宋体" w:cs="宋体"/>
          <w:color w:val="auto"/>
          <w:kern w:val="0"/>
          <w:sz w:val="32"/>
          <w:szCs w:val="32"/>
        </w:rPr>
      </w:pPr>
      <w:r>
        <w:rPr>
          <w:rFonts w:hint="eastAsia" w:ascii="宋体" w:hAnsi="宋体" w:cs="宋体"/>
          <w:color w:val="auto"/>
          <w:kern w:val="0"/>
          <w:sz w:val="24"/>
        </w:rPr>
        <w:t>1.说明：应对照“采购需求”中的“技术要求”逐条作明确的投标响应，并作出偏离说明。</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2.供应商对照</w:t>
      </w:r>
      <w:r>
        <w:rPr>
          <w:rFonts w:hint="eastAsia" w:ascii="宋体" w:hAnsi="宋体" w:cs="宋体"/>
          <w:color w:val="auto"/>
          <w:kern w:val="0"/>
          <w:sz w:val="24"/>
          <w:lang w:val="en-US" w:eastAsia="zh-CN"/>
        </w:rPr>
        <w:t>采购需求的</w:t>
      </w:r>
      <w:r>
        <w:rPr>
          <w:rFonts w:hint="eastAsia" w:ascii="宋体" w:hAnsi="宋体" w:cs="宋体"/>
          <w:color w:val="auto"/>
          <w:kern w:val="0"/>
          <w:sz w:val="24"/>
        </w:rPr>
        <w:t>技术要求，在“偏离说明”中注明“</w:t>
      </w:r>
      <w:r>
        <w:rPr>
          <w:rFonts w:hint="eastAsia" w:ascii="宋体" w:hAnsi="宋体" w:cs="宋体"/>
          <w:b/>
          <w:bCs/>
          <w:color w:val="auto"/>
          <w:kern w:val="0"/>
          <w:sz w:val="24"/>
        </w:rPr>
        <w:t>正偏离</w:t>
      </w:r>
      <w:r>
        <w:rPr>
          <w:rFonts w:hint="eastAsia" w:ascii="宋体" w:hAnsi="宋体" w:cs="宋体"/>
          <w:color w:val="auto"/>
          <w:kern w:val="0"/>
          <w:sz w:val="24"/>
        </w:rPr>
        <w:t>”、“</w:t>
      </w:r>
      <w:r>
        <w:rPr>
          <w:rFonts w:hint="eastAsia" w:ascii="宋体" w:hAnsi="宋体" w:cs="宋体"/>
          <w:b/>
          <w:bCs/>
          <w:color w:val="auto"/>
          <w:kern w:val="0"/>
          <w:sz w:val="24"/>
        </w:rPr>
        <w:t>负偏离</w:t>
      </w:r>
      <w:r>
        <w:rPr>
          <w:rFonts w:hint="eastAsia" w:ascii="宋体" w:hAnsi="宋体" w:cs="宋体"/>
          <w:color w:val="auto"/>
          <w:kern w:val="0"/>
          <w:sz w:val="24"/>
        </w:rPr>
        <w:t>”或者“</w:t>
      </w:r>
      <w:r>
        <w:rPr>
          <w:rFonts w:hint="eastAsia" w:ascii="宋体" w:hAnsi="宋体" w:cs="宋体"/>
          <w:b/>
          <w:bCs/>
          <w:color w:val="auto"/>
          <w:kern w:val="0"/>
          <w:sz w:val="24"/>
        </w:rPr>
        <w:t>无偏离</w:t>
      </w:r>
      <w:r>
        <w:rPr>
          <w:rFonts w:hint="eastAsia" w:ascii="宋体" w:hAnsi="宋体" w:cs="宋体"/>
          <w:color w:val="auto"/>
          <w:kern w:val="0"/>
          <w:sz w:val="24"/>
        </w:rPr>
        <w:t>”。既不属于“</w:t>
      </w:r>
      <w:r>
        <w:rPr>
          <w:rFonts w:hint="eastAsia" w:ascii="宋体" w:hAnsi="宋体" w:cs="宋体"/>
          <w:b/>
          <w:bCs/>
          <w:color w:val="auto"/>
          <w:kern w:val="0"/>
          <w:sz w:val="24"/>
        </w:rPr>
        <w:t>正偏离</w:t>
      </w:r>
      <w:r>
        <w:rPr>
          <w:rFonts w:hint="eastAsia" w:ascii="宋体" w:hAnsi="宋体" w:cs="宋体"/>
          <w:color w:val="auto"/>
          <w:kern w:val="0"/>
          <w:sz w:val="24"/>
        </w:rPr>
        <w:t>”也不属于“</w:t>
      </w:r>
      <w:r>
        <w:rPr>
          <w:rFonts w:hint="eastAsia" w:ascii="宋体" w:hAnsi="宋体" w:cs="宋体"/>
          <w:b/>
          <w:bCs/>
          <w:color w:val="auto"/>
          <w:kern w:val="0"/>
          <w:sz w:val="24"/>
        </w:rPr>
        <w:t>负偏离</w:t>
      </w:r>
      <w:r>
        <w:rPr>
          <w:rFonts w:hint="eastAsia" w:ascii="宋体" w:hAnsi="宋体" w:cs="宋体"/>
          <w:color w:val="auto"/>
          <w:kern w:val="0"/>
          <w:sz w:val="24"/>
        </w:rPr>
        <w:t>”即为“</w:t>
      </w:r>
      <w:r>
        <w:rPr>
          <w:rFonts w:hint="eastAsia" w:ascii="宋体" w:hAnsi="宋体" w:cs="宋体"/>
          <w:b/>
          <w:bCs/>
          <w:color w:val="auto"/>
          <w:kern w:val="0"/>
          <w:sz w:val="24"/>
        </w:rPr>
        <w:t>无偏离</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3.供应商认为其</w:t>
      </w:r>
      <w:r>
        <w:rPr>
          <w:rFonts w:hint="eastAsia" w:ascii="宋体" w:hAnsi="宋体" w:cs="宋体"/>
          <w:color w:val="auto"/>
          <w:kern w:val="0"/>
          <w:sz w:val="24"/>
          <w:lang w:val="en-US" w:eastAsia="zh-CN"/>
        </w:rPr>
        <w:t>报</w:t>
      </w:r>
      <w:r>
        <w:rPr>
          <w:rFonts w:hint="eastAsia" w:ascii="宋体" w:hAnsi="宋体" w:cs="宋体"/>
          <w:color w:val="auto"/>
          <w:kern w:val="0"/>
          <w:sz w:val="24"/>
        </w:rPr>
        <w:t>价响应有正偏离的，请在技术要求偏离表中列明。</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4.如技术要求偏离表中的</w:t>
      </w:r>
      <w:r>
        <w:rPr>
          <w:rFonts w:hint="eastAsia" w:ascii="宋体" w:hAnsi="宋体" w:cs="宋体"/>
          <w:color w:val="auto"/>
          <w:kern w:val="0"/>
          <w:sz w:val="24"/>
          <w:lang w:val="en-US" w:eastAsia="zh-CN"/>
        </w:rPr>
        <w:t>报</w:t>
      </w:r>
      <w:r>
        <w:rPr>
          <w:rFonts w:hint="eastAsia" w:ascii="宋体" w:hAnsi="宋体" w:cs="宋体"/>
          <w:color w:val="auto"/>
          <w:kern w:val="0"/>
          <w:sz w:val="24"/>
        </w:rPr>
        <w:t>价响应与佐证材料不一致的，以佐证材料为准。</w:t>
      </w: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rPr>
          <w:rFonts w:hint="eastAsia" w:ascii="宋体" w:hAnsi="宋体" w:cs="宋体"/>
          <w:color w:val="auto"/>
          <w:sz w:val="24"/>
        </w:rPr>
      </w:pP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pacing w:line="360" w:lineRule="auto"/>
        <w:contextualSpacing/>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商务要求偏离表</w:t>
      </w:r>
    </w:p>
    <w:tbl>
      <w:tblPr>
        <w:tblStyle w:val="12"/>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3198"/>
        <w:gridCol w:w="3199"/>
        <w:gridCol w:w="1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序号</w:t>
            </w: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商务要求</w:t>
            </w: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val="en-US" w:eastAsia="zh-CN"/>
              </w:rPr>
              <w:t>响应</w:t>
            </w: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u w:val="single"/>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3199"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c>
          <w:tcPr>
            <w:tcW w:w="131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ascii="宋体" w:hAnsi="宋体" w:cs="宋体"/>
                <w:color w:val="auto"/>
                <w:sz w:val="24"/>
              </w:rPr>
            </w:pPr>
          </w:p>
        </w:tc>
      </w:tr>
    </w:tbl>
    <w:p>
      <w:pPr>
        <w:spacing w:line="500" w:lineRule="exact"/>
        <w:rPr>
          <w:rFonts w:hint="eastAsia" w:ascii="宋体" w:hAnsi="宋体" w:cs="宋体"/>
          <w:b/>
          <w:bCs/>
          <w:color w:val="auto"/>
          <w:kern w:val="0"/>
          <w:sz w:val="24"/>
        </w:rPr>
      </w:pPr>
      <w:r>
        <w:rPr>
          <w:rFonts w:hint="eastAsia" w:ascii="宋体" w:hAnsi="宋体" w:cs="宋体"/>
          <w:b/>
          <w:bCs/>
          <w:color w:val="auto"/>
          <w:kern w:val="0"/>
          <w:sz w:val="24"/>
        </w:rPr>
        <w:t>注：</w:t>
      </w:r>
    </w:p>
    <w:p>
      <w:pPr>
        <w:spacing w:line="520" w:lineRule="exact"/>
        <w:ind w:firstLine="480" w:firstLineChars="200"/>
        <w:rPr>
          <w:rFonts w:hint="eastAsia" w:ascii="宋体" w:hAnsi="宋体" w:cs="宋体"/>
          <w:color w:val="auto"/>
          <w:kern w:val="0"/>
          <w:sz w:val="32"/>
          <w:szCs w:val="32"/>
        </w:rPr>
      </w:pPr>
      <w:r>
        <w:rPr>
          <w:rFonts w:hint="eastAsia" w:ascii="宋体" w:hAnsi="宋体" w:cs="宋体"/>
          <w:color w:val="auto"/>
          <w:kern w:val="0"/>
          <w:sz w:val="24"/>
        </w:rPr>
        <w:t>1.说明：应对照“采购需求”中的商务要求逐条作明确的响应，并作出偏离说明。</w:t>
      </w:r>
    </w:p>
    <w:p>
      <w:pPr>
        <w:spacing w:line="5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2.供应商应根据自身的承诺，对照要求在“偏离说明”中注明“</w:t>
      </w:r>
      <w:r>
        <w:rPr>
          <w:rFonts w:hint="eastAsia" w:ascii="宋体" w:hAnsi="宋体" w:cs="宋体"/>
          <w:b/>
          <w:bCs/>
          <w:color w:val="auto"/>
          <w:kern w:val="0"/>
          <w:sz w:val="24"/>
        </w:rPr>
        <w:t>正偏离</w:t>
      </w:r>
      <w:r>
        <w:rPr>
          <w:rFonts w:hint="eastAsia" w:ascii="宋体" w:hAnsi="宋体" w:cs="宋体"/>
          <w:color w:val="auto"/>
          <w:kern w:val="0"/>
          <w:sz w:val="24"/>
        </w:rPr>
        <w:t>”、“</w:t>
      </w:r>
      <w:r>
        <w:rPr>
          <w:rFonts w:hint="eastAsia" w:ascii="宋体" w:hAnsi="宋体" w:cs="宋体"/>
          <w:b/>
          <w:bCs/>
          <w:color w:val="auto"/>
          <w:kern w:val="0"/>
          <w:sz w:val="24"/>
        </w:rPr>
        <w:t>负偏离</w:t>
      </w:r>
      <w:r>
        <w:rPr>
          <w:rFonts w:hint="eastAsia" w:ascii="宋体" w:hAnsi="宋体" w:cs="宋体"/>
          <w:color w:val="auto"/>
          <w:kern w:val="0"/>
          <w:sz w:val="24"/>
        </w:rPr>
        <w:t>”或者“</w:t>
      </w:r>
      <w:r>
        <w:rPr>
          <w:rFonts w:hint="eastAsia" w:ascii="宋体" w:hAnsi="宋体" w:cs="宋体"/>
          <w:b/>
          <w:bCs/>
          <w:color w:val="auto"/>
          <w:kern w:val="0"/>
          <w:sz w:val="24"/>
        </w:rPr>
        <w:t>无偏离</w:t>
      </w:r>
      <w:r>
        <w:rPr>
          <w:rFonts w:hint="eastAsia" w:ascii="宋体" w:hAnsi="宋体" w:cs="宋体"/>
          <w:color w:val="auto"/>
          <w:kern w:val="0"/>
          <w:sz w:val="24"/>
        </w:rPr>
        <w:t>”。既不属于“</w:t>
      </w:r>
      <w:r>
        <w:rPr>
          <w:rFonts w:hint="eastAsia" w:ascii="宋体" w:hAnsi="宋体" w:cs="宋体"/>
          <w:b/>
          <w:bCs/>
          <w:color w:val="auto"/>
          <w:kern w:val="0"/>
          <w:sz w:val="24"/>
        </w:rPr>
        <w:t>正偏离</w:t>
      </w:r>
      <w:r>
        <w:rPr>
          <w:rFonts w:hint="eastAsia" w:ascii="宋体" w:hAnsi="宋体" w:cs="宋体"/>
          <w:color w:val="auto"/>
          <w:kern w:val="0"/>
          <w:sz w:val="24"/>
        </w:rPr>
        <w:t>”也不属于“</w:t>
      </w:r>
      <w:r>
        <w:rPr>
          <w:rFonts w:hint="eastAsia" w:ascii="宋体" w:hAnsi="宋体" w:cs="宋体"/>
          <w:b/>
          <w:bCs/>
          <w:color w:val="auto"/>
          <w:kern w:val="0"/>
          <w:sz w:val="24"/>
        </w:rPr>
        <w:t>负偏离</w:t>
      </w:r>
      <w:r>
        <w:rPr>
          <w:rFonts w:hint="eastAsia" w:ascii="宋体" w:hAnsi="宋体" w:cs="宋体"/>
          <w:color w:val="auto"/>
          <w:kern w:val="0"/>
          <w:sz w:val="24"/>
        </w:rPr>
        <w:t>”即为“</w:t>
      </w:r>
      <w:r>
        <w:rPr>
          <w:rFonts w:hint="eastAsia" w:ascii="宋体" w:hAnsi="宋体" w:cs="宋体"/>
          <w:b/>
          <w:bCs/>
          <w:color w:val="auto"/>
          <w:kern w:val="0"/>
          <w:sz w:val="24"/>
        </w:rPr>
        <w:t>无偏离</w:t>
      </w:r>
      <w:r>
        <w:rPr>
          <w:rFonts w:hint="eastAsia" w:ascii="宋体" w:hAnsi="宋体" w:cs="宋体"/>
          <w:color w:val="auto"/>
          <w:kern w:val="0"/>
          <w:sz w:val="24"/>
        </w:rPr>
        <w:t>”。</w:t>
      </w: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pacing w:line="500" w:lineRule="exact"/>
        <w:ind w:firstLine="480" w:firstLineChars="200"/>
        <w:rPr>
          <w:rFonts w:hint="eastAsia" w:ascii="宋体" w:hAnsi="宋体" w:cs="宋体"/>
          <w:color w:val="auto"/>
          <w:kern w:val="0"/>
          <w:sz w:val="24"/>
        </w:rPr>
      </w:pPr>
    </w:p>
    <w:p>
      <w:pPr>
        <w:snapToGrid w:val="0"/>
        <w:spacing w:before="50" w:after="50"/>
        <w:rPr>
          <w:rFonts w:hint="eastAsia" w:ascii="宋体" w:hAnsi="宋体" w:cs="宋体"/>
          <w:color w:val="auto"/>
          <w:sz w:val="24"/>
        </w:rPr>
      </w:pPr>
      <w:r>
        <w:rPr>
          <w:rFonts w:hint="eastAsia" w:ascii="宋体" w:hAnsi="宋体" w:cs="宋体"/>
          <w:color w:val="auto"/>
          <w:sz w:val="24"/>
        </w:rPr>
        <w:t xml:space="preserve">    </w:t>
      </w: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rPr>
        <w:t xml:space="preserve">供应商（盖公章）：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napToGrid w:val="0"/>
        <w:spacing w:before="50" w:after="50"/>
        <w:jc w:val="center"/>
        <w:rPr>
          <w:rFonts w:hint="eastAsia" w:ascii="宋体" w:hAnsi="宋体" w:cs="宋体"/>
          <w:b/>
          <w:color w:val="auto"/>
          <w:sz w:val="32"/>
          <w:szCs w:val="32"/>
        </w:rPr>
      </w:pPr>
      <w:r>
        <w:rPr>
          <w:rFonts w:hint="eastAsia" w:ascii="仿宋_GB2312" w:hAnsi="仿宋_GB2312" w:eastAsia="仿宋_GB2312" w:cs="仿宋_GB2312"/>
          <w:color w:val="auto"/>
          <w:sz w:val="28"/>
          <w:szCs w:val="28"/>
          <w:lang w:val="en-US" w:eastAsia="zh-CN"/>
        </w:rPr>
        <w:br w:type="page"/>
      </w:r>
      <w:r>
        <w:rPr>
          <w:rFonts w:hint="eastAsia" w:ascii="宋体" w:hAnsi="宋体" w:eastAsia="仿宋_GB2312" w:cs="宋体"/>
          <w:b/>
          <w:color w:val="auto"/>
          <w:sz w:val="32"/>
          <w:szCs w:val="32"/>
          <w:lang w:val="en-US" w:eastAsia="zh-CN"/>
        </w:rPr>
        <w:t>报</w:t>
      </w:r>
      <w:r>
        <w:rPr>
          <w:rFonts w:hint="eastAsia" w:ascii="宋体" w:hAnsi="宋体" w:cs="宋体"/>
          <w:b/>
          <w:color w:val="auto"/>
          <w:sz w:val="32"/>
          <w:szCs w:val="32"/>
        </w:rPr>
        <w:t>价一览表</w:t>
      </w:r>
    </w:p>
    <w:p>
      <w:pPr>
        <w:snapToGrid w:val="0"/>
        <w:spacing w:before="50" w:after="50"/>
        <w:jc w:val="center"/>
        <w:rPr>
          <w:rFonts w:hint="eastAsia" w:ascii="宋体" w:hAnsi="宋体" w:cs="宋体"/>
          <w:b/>
          <w:color w:val="auto"/>
          <w:sz w:val="30"/>
          <w:szCs w:val="20"/>
        </w:rPr>
      </w:pPr>
    </w:p>
    <w:p>
      <w:pPr>
        <w:snapToGrid w:val="0"/>
        <w:spacing w:before="50" w:after="50" w:line="360" w:lineRule="auto"/>
        <w:rPr>
          <w:rFonts w:hint="eastAsia"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napToGrid w:val="0"/>
        <w:spacing w:before="50" w:after="50" w:line="360" w:lineRule="auto"/>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名称：</w:t>
      </w:r>
      <w:r>
        <w:rPr>
          <w:rFonts w:hint="eastAsia" w:ascii="宋体" w:hAnsi="宋体" w:cs="宋体"/>
          <w:color w:val="auto"/>
          <w:sz w:val="24"/>
          <w:u w:val="single"/>
        </w:rPr>
        <w:t xml:space="preserve">                     </w:t>
      </w:r>
      <w:r>
        <w:rPr>
          <w:rFonts w:hint="eastAsia" w:ascii="宋体" w:hAnsi="宋体" w:cs="宋体"/>
          <w:color w:val="auto"/>
          <w:sz w:val="24"/>
        </w:rPr>
        <w:t xml:space="preserve">                       单位：元</w:t>
      </w:r>
    </w:p>
    <w:tbl>
      <w:tblPr>
        <w:tblStyle w:val="12"/>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9"/>
        <w:gridCol w:w="1326"/>
        <w:gridCol w:w="2211"/>
        <w:gridCol w:w="1312"/>
        <w:gridCol w:w="929"/>
        <w:gridCol w:w="922"/>
        <w:gridCol w:w="1220"/>
        <w:gridCol w:w="1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序号</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lang w:val="en-US" w:eastAsia="zh-CN"/>
              </w:rPr>
              <w:t>货物</w:t>
            </w:r>
            <w:r>
              <w:rPr>
                <w:rFonts w:hint="eastAsia" w:ascii="宋体" w:hAnsi="宋体" w:cs="宋体"/>
                <w:b/>
                <w:color w:val="auto"/>
                <w:sz w:val="24"/>
              </w:rPr>
              <w:t>名称</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产品名称、生产厂家及国别</w:t>
            </w: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品牌、规格型号</w:t>
            </w: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数量及单位①</w:t>
            </w: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单价</w:t>
            </w:r>
          </w:p>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②</w:t>
            </w: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投标报价</w:t>
            </w:r>
          </w:p>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③=①×②</w:t>
            </w: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1</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2</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w:t>
            </w:r>
          </w:p>
        </w:tc>
        <w:tc>
          <w:tcPr>
            <w:tcW w:w="675"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jc w:val="center"/>
              <w:rPr>
                <w:rFonts w:hint="eastAsia" w:ascii="宋体" w:hAnsi="宋体" w:cs="宋体"/>
                <w:b/>
                <w:color w:val="auto"/>
                <w:sz w:val="24"/>
              </w:rPr>
            </w:pPr>
            <w:r>
              <w:rPr>
                <w:rFonts w:hint="eastAsia" w:ascii="宋体" w:hAnsi="宋体" w:cs="宋体"/>
                <w:b/>
                <w:color w:val="auto"/>
                <w:sz w:val="24"/>
              </w:rPr>
              <w:t>……</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6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7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c>
          <w:tcPr>
            <w:tcW w:w="63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360" w:lineRule="auto"/>
              <w:rPr>
                <w:rFonts w:hint="eastAsia" w:ascii="宋体" w:hAnsi="宋体" w:cs="宋体"/>
                <w:color w:val="auto"/>
                <w:sz w:val="24"/>
              </w:rPr>
            </w:pPr>
            <w:r>
              <w:rPr>
                <w:rFonts w:hint="eastAsia" w:ascii="宋体" w:hAnsi="宋体" w:cs="宋体"/>
                <w:color w:val="auto"/>
                <w:sz w:val="24"/>
              </w:rPr>
              <w:t>合计金额大写：人民币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tc>
      </w:tr>
    </w:tbl>
    <w:p>
      <w:pPr>
        <w:snapToGrid w:val="0"/>
        <w:spacing w:before="50" w:after="50" w:line="360" w:lineRule="auto"/>
        <w:jc w:val="left"/>
        <w:rPr>
          <w:rFonts w:hint="eastAsia" w:ascii="宋体" w:hAnsi="宋体" w:cs="宋体"/>
          <w:color w:val="auto"/>
          <w:sz w:val="24"/>
        </w:rPr>
      </w:pPr>
      <w:r>
        <w:rPr>
          <w:rFonts w:hint="eastAsia" w:ascii="宋体" w:hAnsi="宋体" w:cs="宋体"/>
          <w:color w:val="auto"/>
          <w:sz w:val="24"/>
        </w:rPr>
        <w:t xml:space="preserve">注： </w:t>
      </w:r>
    </w:p>
    <w:p>
      <w:pPr>
        <w:snapToGrid w:val="0"/>
        <w:spacing w:before="50" w:after="50" w:line="360" w:lineRule="auto"/>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一览表必须加盖</w:t>
      </w:r>
      <w:r>
        <w:rPr>
          <w:rFonts w:hint="eastAsia" w:ascii="宋体" w:hAnsi="宋体" w:cs="宋体"/>
          <w:color w:val="auto"/>
          <w:sz w:val="24"/>
          <w:lang w:val="en-US" w:eastAsia="zh-CN"/>
        </w:rPr>
        <w:t>供应商</w:t>
      </w:r>
      <w:r>
        <w:rPr>
          <w:rFonts w:hint="eastAsia" w:ascii="宋体" w:hAnsi="宋体" w:cs="宋体"/>
          <w:color w:val="auto"/>
          <w:sz w:val="24"/>
        </w:rPr>
        <w:t>公章并由法定代表人或者委托代理人签字，</w:t>
      </w:r>
      <w:r>
        <w:rPr>
          <w:rFonts w:hint="eastAsia" w:ascii="宋体" w:hAnsi="宋体" w:cs="宋体"/>
          <w:b/>
          <w:color w:val="auto"/>
          <w:sz w:val="24"/>
        </w:rPr>
        <w:t>否则其</w:t>
      </w:r>
      <w:r>
        <w:rPr>
          <w:rFonts w:hint="eastAsia" w:ascii="宋体" w:hAnsi="宋体" w:cs="宋体"/>
          <w:b/>
          <w:color w:val="auto"/>
          <w:sz w:val="24"/>
          <w:lang w:val="en-US" w:eastAsia="zh-CN"/>
        </w:rPr>
        <w:t>报</w:t>
      </w:r>
      <w:r>
        <w:rPr>
          <w:rFonts w:hint="eastAsia" w:ascii="宋体" w:hAnsi="宋体" w:cs="宋体"/>
          <w:b/>
          <w:color w:val="auto"/>
          <w:sz w:val="24"/>
        </w:rPr>
        <w:t>价作无效响应处理</w:t>
      </w:r>
      <w:r>
        <w:rPr>
          <w:rFonts w:hint="eastAsia" w:ascii="宋体" w:hAnsi="宋体" w:cs="宋体"/>
          <w:color w:val="auto"/>
          <w:sz w:val="24"/>
        </w:rPr>
        <w:t>。</w:t>
      </w:r>
    </w:p>
    <w:p>
      <w:pPr>
        <w:snapToGrid w:val="0"/>
        <w:spacing w:before="50" w:after="50" w:line="36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w:t>
      </w:r>
      <w:r>
        <w:rPr>
          <w:rFonts w:hint="eastAsia" w:ascii="宋体" w:hAnsi="宋体" w:cs="宋体"/>
          <w:color w:val="auto"/>
          <w:sz w:val="24"/>
          <w:lang w:val="en-US" w:eastAsia="zh-CN"/>
        </w:rPr>
        <w:t>供应商</w:t>
      </w:r>
      <w:r>
        <w:rPr>
          <w:rFonts w:hint="eastAsia" w:ascii="宋体" w:hAnsi="宋体" w:cs="宋体"/>
          <w:color w:val="auto"/>
          <w:sz w:val="24"/>
        </w:rPr>
        <w:t>公章或者由法定代表人或者委托代理人签字或者盖章</w:t>
      </w:r>
      <w:r>
        <w:rPr>
          <w:rFonts w:hint="eastAsia" w:ascii="宋体" w:hAnsi="宋体" w:cs="宋体"/>
          <w:b/>
          <w:color w:val="auto"/>
          <w:sz w:val="24"/>
        </w:rPr>
        <w:t>，否则其</w:t>
      </w:r>
      <w:r>
        <w:rPr>
          <w:rFonts w:hint="eastAsia" w:ascii="宋体" w:hAnsi="宋体" w:cs="宋体"/>
          <w:b/>
          <w:color w:val="auto"/>
          <w:sz w:val="24"/>
          <w:lang w:val="en-US" w:eastAsia="zh-CN"/>
        </w:rPr>
        <w:t>报</w:t>
      </w:r>
      <w:r>
        <w:rPr>
          <w:rFonts w:hint="eastAsia" w:ascii="宋体" w:hAnsi="宋体" w:cs="宋体"/>
          <w:b/>
          <w:color w:val="auto"/>
          <w:sz w:val="24"/>
        </w:rPr>
        <w:t>价作无效响应处理。</w:t>
      </w:r>
    </w:p>
    <w:p>
      <w:pPr>
        <w:snapToGrid w:val="0"/>
        <w:spacing w:before="50" w:after="50"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报价</w:t>
      </w:r>
      <w:r>
        <w:rPr>
          <w:rFonts w:hint="eastAsia" w:ascii="宋体" w:hAnsi="宋体" w:cs="宋体"/>
          <w:color w:val="auto"/>
          <w:sz w:val="24"/>
        </w:rPr>
        <w:t>中列明采购专用耗材的，应按</w:t>
      </w:r>
      <w:r>
        <w:rPr>
          <w:rFonts w:hint="eastAsia" w:ascii="宋体" w:hAnsi="宋体" w:cs="宋体"/>
          <w:color w:val="auto"/>
          <w:sz w:val="24"/>
          <w:lang w:val="en-US" w:eastAsia="zh-CN"/>
        </w:rPr>
        <w:t>采购需求</w:t>
      </w:r>
      <w:r>
        <w:rPr>
          <w:rFonts w:hint="eastAsia" w:ascii="宋体" w:hAnsi="宋体" w:cs="宋体"/>
          <w:color w:val="auto"/>
          <w:sz w:val="24"/>
        </w:rPr>
        <w:t>规定的耗材量或者按耗材的常规试用量提供报价。</w:t>
      </w:r>
    </w:p>
    <w:p>
      <w:pPr>
        <w:snapToGrid w:val="0"/>
        <w:spacing w:before="50" w:after="50" w:line="360" w:lineRule="auto"/>
        <w:ind w:firstLine="482" w:firstLineChars="200"/>
        <w:rPr>
          <w:rFonts w:hint="eastAsia" w:ascii="宋体" w:hAnsi="宋体" w:cs="宋体"/>
          <w:b/>
          <w:color w:val="auto"/>
          <w:sz w:val="24"/>
        </w:rPr>
      </w:pPr>
    </w:p>
    <w:p>
      <w:pPr>
        <w:snapToGrid w:val="0"/>
        <w:spacing w:before="50" w:after="50" w:line="360" w:lineRule="auto"/>
        <w:ind w:left="-3" w:leftChars="-1" w:right="-1245"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pPr>
        <w:snapToGrid w:val="0"/>
        <w:spacing w:before="50" w:after="50" w:line="360" w:lineRule="auto"/>
        <w:ind w:left="-20" w:leftChars="-15" w:right="-1245" w:rightChars="-389" w:hanging="28" w:hangingChars="12"/>
        <w:rPr>
          <w:rFonts w:hint="eastAsia" w:ascii="宋体" w:hAnsi="宋体" w:cs="宋体"/>
          <w:color w:val="auto"/>
          <w:sz w:val="24"/>
        </w:rPr>
      </w:pPr>
      <w:r>
        <w:rPr>
          <w:rFonts w:hint="eastAsia" w:ascii="宋体" w:hAnsi="宋体" w:cs="宋体"/>
          <w:color w:val="auto"/>
          <w:sz w:val="24"/>
          <w:lang w:val="en-US" w:eastAsia="zh-CN"/>
        </w:rPr>
        <w:t>供应商</w:t>
      </w:r>
      <w:r>
        <w:rPr>
          <w:rFonts w:hint="eastAsia" w:ascii="宋体" w:hAnsi="宋体" w:cs="宋体"/>
          <w:color w:val="auto"/>
          <w:sz w:val="24"/>
        </w:rPr>
        <w:t xml:space="preserve">（盖公章）：                                </w:t>
      </w:r>
    </w:p>
    <w:p>
      <w:pPr>
        <w:snapToGrid w:val="0"/>
        <w:spacing w:before="50" w:after="50" w:line="360" w:lineRule="auto"/>
        <w:ind w:left="-20" w:leftChars="-15" w:right="-1245" w:rightChars="-389" w:hanging="28" w:hangingChars="12"/>
        <w:rPr>
          <w:rFonts w:hint="eastAsia" w:ascii="宋体" w:hAnsi="宋体" w:cs="宋体"/>
          <w:color w:val="auto"/>
          <w:szCs w:val="21"/>
        </w:rPr>
      </w:pPr>
      <w:r>
        <w:rPr>
          <w:rFonts w:hint="eastAsia" w:ascii="宋体" w:hAnsi="宋体" w:cs="宋体"/>
          <w:color w:val="auto"/>
          <w:sz w:val="24"/>
        </w:rPr>
        <w:t>日期：    年   月   日</w:t>
      </w:r>
    </w:p>
    <w:p>
      <w:pPr>
        <w:spacing w:line="360" w:lineRule="auto"/>
        <w:contextualSpacing/>
        <w:jc w:val="center"/>
        <w:rPr>
          <w:rFonts w:hint="eastAsia" w:ascii="宋体" w:hAnsi="宋体" w:cs="宋体"/>
          <w:b/>
          <w:color w:val="auto"/>
          <w:sz w:val="32"/>
          <w:szCs w:val="32"/>
        </w:rPr>
      </w:pPr>
      <w:r>
        <w:rPr>
          <w:rFonts w:hint="eastAsia" w:ascii="仿宋_GB2312" w:hAnsi="仿宋_GB2312" w:eastAsia="仿宋_GB2312" w:cs="仿宋_GB2312"/>
          <w:color w:val="auto"/>
          <w:sz w:val="28"/>
          <w:szCs w:val="28"/>
          <w:lang w:val="en-US" w:eastAsia="zh-CN"/>
        </w:rPr>
        <w:br w:type="page"/>
      </w:r>
      <w:r>
        <w:rPr>
          <w:rFonts w:hint="eastAsia" w:ascii="宋体" w:hAnsi="宋体" w:cs="宋体"/>
          <w:b/>
          <w:color w:val="auto"/>
          <w:spacing w:val="-11"/>
          <w:sz w:val="32"/>
          <w:szCs w:val="32"/>
          <w:lang w:val="en-US" w:eastAsia="zh-CN"/>
        </w:rPr>
        <w:t>供应商</w:t>
      </w:r>
      <w:r>
        <w:rPr>
          <w:rFonts w:hint="eastAsia" w:ascii="宋体" w:hAnsi="宋体" w:cs="宋体"/>
          <w:b/>
          <w:color w:val="auto"/>
          <w:spacing w:val="-11"/>
          <w:sz w:val="32"/>
          <w:szCs w:val="32"/>
        </w:rPr>
        <w:t>参加本项目无围标串标行为的承诺函</w:t>
      </w:r>
    </w:p>
    <w:p>
      <w:pPr>
        <w:spacing w:line="360" w:lineRule="auto"/>
        <w:contextualSpacing/>
        <w:jc w:val="left"/>
        <w:rPr>
          <w:rFonts w:hint="eastAsia" w:ascii="宋体" w:hAnsi="宋体" w:cs="宋体"/>
          <w:b/>
          <w:color w:val="auto"/>
          <w:sz w:val="24"/>
        </w:rPr>
      </w:pPr>
    </w:p>
    <w:p>
      <w:pPr>
        <w:spacing w:line="360" w:lineRule="auto"/>
        <w:contextualSpacing/>
        <w:jc w:val="left"/>
        <w:rPr>
          <w:rFonts w:hint="eastAsia" w:ascii="宋体" w:hAnsi="宋体" w:cs="宋体"/>
          <w:b/>
          <w:color w:val="auto"/>
          <w:sz w:val="24"/>
        </w:rPr>
      </w:pPr>
      <w:r>
        <w:rPr>
          <w:rFonts w:hint="eastAsia" w:ascii="宋体" w:hAnsi="宋体" w:cs="宋体"/>
          <w:b/>
          <w:color w:val="auto"/>
          <w:sz w:val="24"/>
        </w:rPr>
        <w:t>一、我方承诺无下列相互串通</w:t>
      </w:r>
      <w:r>
        <w:rPr>
          <w:rFonts w:hint="eastAsia" w:ascii="宋体" w:hAnsi="宋体" w:cs="宋体"/>
          <w:b/>
          <w:color w:val="auto"/>
          <w:sz w:val="24"/>
          <w:lang w:val="en-US" w:eastAsia="zh-CN"/>
        </w:rPr>
        <w:t>报</w:t>
      </w:r>
      <w:r>
        <w:rPr>
          <w:rFonts w:hint="eastAsia" w:ascii="宋体" w:hAnsi="宋体" w:cs="宋体"/>
          <w:b/>
          <w:color w:val="auto"/>
          <w:sz w:val="24"/>
        </w:rPr>
        <w:t>价的情形：</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1.不同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价文件由同一单位或者个人编制；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2.不同</w:t>
      </w:r>
      <w:r>
        <w:rPr>
          <w:rFonts w:hint="eastAsia" w:ascii="宋体" w:hAnsi="宋体" w:cs="宋体"/>
          <w:color w:val="auto"/>
          <w:sz w:val="24"/>
          <w:lang w:val="en-US" w:eastAsia="zh-CN"/>
        </w:rPr>
        <w:t>供应商</w:t>
      </w:r>
      <w:r>
        <w:rPr>
          <w:rFonts w:hint="eastAsia" w:ascii="宋体" w:hAnsi="宋体" w:cs="宋体"/>
          <w:color w:val="auto"/>
          <w:sz w:val="24"/>
        </w:rPr>
        <w:t>委托同一单位或者个人办理</w:t>
      </w:r>
      <w:r>
        <w:rPr>
          <w:rFonts w:hint="eastAsia" w:ascii="宋体" w:hAnsi="宋体" w:cs="宋体"/>
          <w:color w:val="auto"/>
          <w:sz w:val="24"/>
          <w:lang w:val="en-US" w:eastAsia="zh-CN"/>
        </w:rPr>
        <w:t>报</w:t>
      </w:r>
      <w:r>
        <w:rPr>
          <w:rFonts w:hint="eastAsia" w:ascii="宋体" w:hAnsi="宋体" w:cs="宋体"/>
          <w:color w:val="auto"/>
          <w:sz w:val="24"/>
        </w:rPr>
        <w:t>价事宜；</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3.不同的</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价文件载明的项目管理员为同一个人；</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4.不同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价文件异常一致或者报价呈规律性差异；</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5.不同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价文件相互混装；</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6.不同</w:t>
      </w:r>
      <w:r>
        <w:rPr>
          <w:rFonts w:hint="eastAsia" w:ascii="宋体" w:hAnsi="宋体" w:cs="宋体"/>
          <w:color w:val="auto"/>
          <w:sz w:val="24"/>
          <w:lang w:val="en-US" w:eastAsia="zh-CN"/>
        </w:rPr>
        <w:t>供应商</w:t>
      </w:r>
      <w:r>
        <w:rPr>
          <w:rFonts w:hint="eastAsia" w:ascii="宋体" w:hAnsi="宋体" w:cs="宋体"/>
          <w:color w:val="auto"/>
          <w:sz w:val="24"/>
        </w:rPr>
        <w:t>的</w:t>
      </w:r>
      <w:r>
        <w:rPr>
          <w:rFonts w:hint="eastAsia" w:ascii="宋体" w:hAnsi="宋体" w:cs="宋体"/>
          <w:color w:val="auto"/>
          <w:sz w:val="24"/>
          <w:lang w:val="en-US" w:eastAsia="zh-CN"/>
        </w:rPr>
        <w:t>报</w:t>
      </w:r>
      <w:r>
        <w:rPr>
          <w:rFonts w:hint="eastAsia" w:ascii="宋体" w:hAnsi="宋体" w:cs="宋体"/>
          <w:color w:val="auto"/>
          <w:sz w:val="24"/>
        </w:rPr>
        <w:t>价保证金从同一单位或者个人账户转出。</w:t>
      </w:r>
    </w:p>
    <w:p>
      <w:pPr>
        <w:spacing w:line="360" w:lineRule="auto"/>
        <w:contextualSpacing/>
        <w:jc w:val="left"/>
        <w:rPr>
          <w:rFonts w:hint="eastAsia" w:ascii="宋体" w:hAnsi="宋体" w:cs="宋体"/>
          <w:color w:val="auto"/>
          <w:sz w:val="24"/>
        </w:rPr>
      </w:pPr>
      <w:r>
        <w:rPr>
          <w:rFonts w:hint="eastAsia" w:ascii="宋体" w:hAnsi="宋体" w:cs="宋体"/>
          <w:b/>
          <w:color w:val="auto"/>
          <w:sz w:val="24"/>
        </w:rPr>
        <w:t>二、我方承诺无下列恶意串通的情形：</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直接或者间接从采购人或者采购代理机构处获得其他</w:t>
      </w:r>
      <w:r>
        <w:rPr>
          <w:rFonts w:hint="eastAsia" w:ascii="宋体" w:hAnsi="宋体" w:cs="宋体"/>
          <w:color w:val="auto"/>
          <w:sz w:val="24"/>
          <w:lang w:val="en-US" w:eastAsia="zh-CN"/>
        </w:rPr>
        <w:t>供应商</w:t>
      </w:r>
      <w:r>
        <w:rPr>
          <w:rFonts w:hint="eastAsia" w:ascii="宋体" w:hAnsi="宋体" w:cs="宋体"/>
          <w:color w:val="auto"/>
          <w:sz w:val="24"/>
        </w:rPr>
        <w:t>的相关信息并修改其</w:t>
      </w:r>
      <w:r>
        <w:rPr>
          <w:rFonts w:hint="eastAsia" w:ascii="宋体" w:hAnsi="宋体" w:cs="宋体"/>
          <w:color w:val="auto"/>
          <w:sz w:val="24"/>
          <w:lang w:val="en-US" w:eastAsia="zh-CN"/>
        </w:rPr>
        <w:t>报</w:t>
      </w:r>
      <w:r>
        <w:rPr>
          <w:rFonts w:hint="eastAsia" w:ascii="宋体" w:hAnsi="宋体" w:cs="宋体"/>
          <w:color w:val="auto"/>
          <w:sz w:val="24"/>
        </w:rPr>
        <w:t>价或者响应文件；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供应商</w:t>
      </w:r>
      <w:r>
        <w:rPr>
          <w:rFonts w:hint="eastAsia" w:ascii="宋体" w:hAnsi="宋体" w:cs="宋体"/>
          <w:color w:val="auto"/>
          <w:sz w:val="24"/>
        </w:rPr>
        <w:t>按照采购人或者采购代理机构的授意撤换、修改</w:t>
      </w:r>
      <w:r>
        <w:rPr>
          <w:rFonts w:hint="eastAsia" w:ascii="宋体" w:hAnsi="宋体" w:cs="宋体"/>
          <w:color w:val="auto"/>
          <w:sz w:val="24"/>
          <w:lang w:val="en-US" w:eastAsia="zh-CN"/>
        </w:rPr>
        <w:t>报</w:t>
      </w:r>
      <w:r>
        <w:rPr>
          <w:rFonts w:hint="eastAsia" w:ascii="宋体" w:hAnsi="宋体" w:cs="宋体"/>
          <w:color w:val="auto"/>
          <w:sz w:val="24"/>
        </w:rPr>
        <w:t>价或者响应文件；</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供应商</w:t>
      </w:r>
      <w:r>
        <w:rPr>
          <w:rFonts w:hint="eastAsia" w:ascii="宋体" w:hAnsi="宋体" w:cs="宋体"/>
          <w:color w:val="auto"/>
          <w:sz w:val="24"/>
        </w:rPr>
        <w:t>之间协商报价、技术方案等</w:t>
      </w:r>
      <w:r>
        <w:rPr>
          <w:rFonts w:hint="eastAsia" w:ascii="宋体" w:hAnsi="宋体" w:cs="宋体"/>
          <w:color w:val="auto"/>
          <w:sz w:val="24"/>
          <w:lang w:val="en-US" w:eastAsia="zh-CN"/>
        </w:rPr>
        <w:t>报</w:t>
      </w:r>
      <w:r>
        <w:rPr>
          <w:rFonts w:hint="eastAsia" w:ascii="宋体" w:hAnsi="宋体" w:cs="宋体"/>
          <w:color w:val="auto"/>
          <w:sz w:val="24"/>
        </w:rPr>
        <w:t>价或者响应文件的实质性内容；</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4.属于同一集团、协会、商会等组织成员的</w:t>
      </w:r>
      <w:r>
        <w:rPr>
          <w:rFonts w:hint="eastAsia" w:ascii="宋体" w:hAnsi="宋体" w:cs="宋体"/>
          <w:color w:val="auto"/>
          <w:sz w:val="24"/>
          <w:lang w:val="en-US" w:eastAsia="zh-CN"/>
        </w:rPr>
        <w:t>供应商</w:t>
      </w:r>
      <w:r>
        <w:rPr>
          <w:rFonts w:hint="eastAsia" w:ascii="宋体" w:hAnsi="宋体" w:cs="宋体"/>
          <w:color w:val="auto"/>
          <w:sz w:val="24"/>
        </w:rPr>
        <w:t>按照该组织要求协同参加政府采购活动；</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供应商</w:t>
      </w:r>
      <w:r>
        <w:rPr>
          <w:rFonts w:hint="eastAsia" w:ascii="宋体" w:hAnsi="宋体" w:cs="宋体"/>
          <w:color w:val="auto"/>
          <w:sz w:val="24"/>
        </w:rPr>
        <w:t>之间事先约定一致抬高或者压低报价，或者在</w:t>
      </w:r>
      <w:r>
        <w:rPr>
          <w:rFonts w:hint="eastAsia" w:ascii="宋体" w:hAnsi="宋体" w:cs="宋体"/>
          <w:color w:val="auto"/>
          <w:sz w:val="24"/>
          <w:lang w:val="en-US" w:eastAsia="zh-CN"/>
        </w:rPr>
        <w:t>报</w:t>
      </w:r>
      <w:r>
        <w:rPr>
          <w:rFonts w:hint="eastAsia" w:ascii="宋体" w:hAnsi="宋体" w:cs="宋体"/>
          <w:color w:val="auto"/>
          <w:sz w:val="24"/>
        </w:rPr>
        <w:t>价项目中事先约定轮流以高价位或者低价位中标，或者事先约定由某一特定</w:t>
      </w:r>
      <w:r>
        <w:rPr>
          <w:rFonts w:hint="eastAsia" w:ascii="宋体" w:hAnsi="宋体" w:cs="宋体"/>
          <w:color w:val="auto"/>
          <w:sz w:val="24"/>
          <w:lang w:val="en-US" w:eastAsia="zh-CN"/>
        </w:rPr>
        <w:t>供应商</w:t>
      </w:r>
      <w:r>
        <w:rPr>
          <w:rFonts w:hint="eastAsia" w:ascii="宋体" w:hAnsi="宋体" w:cs="宋体"/>
          <w:color w:val="auto"/>
          <w:sz w:val="24"/>
        </w:rPr>
        <w:t>中标，然后再参加</w:t>
      </w:r>
      <w:r>
        <w:rPr>
          <w:rFonts w:hint="eastAsia" w:ascii="宋体" w:hAnsi="宋体" w:cs="宋体"/>
          <w:color w:val="auto"/>
          <w:sz w:val="24"/>
          <w:lang w:val="en-US" w:eastAsia="zh-CN"/>
        </w:rPr>
        <w:t>报</w:t>
      </w:r>
      <w:r>
        <w:rPr>
          <w:rFonts w:hint="eastAsia" w:ascii="宋体" w:hAnsi="宋体" w:cs="宋体"/>
          <w:color w:val="auto"/>
          <w:sz w:val="24"/>
        </w:rPr>
        <w:t>价；</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供应商</w:t>
      </w:r>
      <w:r>
        <w:rPr>
          <w:rFonts w:hint="eastAsia" w:ascii="宋体" w:hAnsi="宋体" w:cs="宋体"/>
          <w:color w:val="auto"/>
          <w:sz w:val="24"/>
        </w:rPr>
        <w:t>之间商定部分</w:t>
      </w:r>
      <w:r>
        <w:rPr>
          <w:rFonts w:hint="eastAsia" w:ascii="宋体" w:hAnsi="宋体" w:cs="宋体"/>
          <w:color w:val="auto"/>
          <w:sz w:val="24"/>
          <w:lang w:val="en-US" w:eastAsia="zh-CN"/>
        </w:rPr>
        <w:t>供应商</w:t>
      </w:r>
      <w:r>
        <w:rPr>
          <w:rFonts w:hint="eastAsia" w:ascii="宋体" w:hAnsi="宋体" w:cs="宋体"/>
          <w:color w:val="auto"/>
          <w:sz w:val="24"/>
        </w:rPr>
        <w:t>放弃参加政府采购活动或者放弃中标；</w:t>
      </w:r>
    </w:p>
    <w:p>
      <w:pPr>
        <w:spacing w:line="360" w:lineRule="auto"/>
        <w:ind w:firstLine="470" w:firstLineChars="196"/>
        <w:contextualSpacing/>
        <w:jc w:val="lef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en-US" w:eastAsia="zh-CN"/>
        </w:rPr>
        <w:t>供应商</w:t>
      </w:r>
      <w:r>
        <w:rPr>
          <w:rFonts w:hint="eastAsia" w:ascii="宋体" w:hAnsi="宋体" w:cs="宋体"/>
          <w:color w:val="auto"/>
          <w:sz w:val="24"/>
        </w:rPr>
        <w:t>与采购人或者采购代理机构之间、</w:t>
      </w:r>
      <w:r>
        <w:rPr>
          <w:rFonts w:hint="eastAsia" w:ascii="宋体" w:hAnsi="宋体" w:cs="宋体"/>
          <w:color w:val="auto"/>
          <w:sz w:val="24"/>
          <w:lang w:val="en-US" w:eastAsia="zh-CN"/>
        </w:rPr>
        <w:t>供应商</w:t>
      </w:r>
      <w:r>
        <w:rPr>
          <w:rFonts w:hint="eastAsia" w:ascii="宋体" w:hAnsi="宋体" w:cs="宋体"/>
          <w:color w:val="auto"/>
          <w:sz w:val="24"/>
        </w:rPr>
        <w:t>相互之间，为谋求特定</w:t>
      </w:r>
      <w:r>
        <w:rPr>
          <w:rFonts w:hint="eastAsia" w:ascii="宋体" w:hAnsi="宋体" w:cs="宋体"/>
          <w:color w:val="auto"/>
          <w:sz w:val="24"/>
          <w:lang w:val="en-US" w:eastAsia="zh-CN"/>
        </w:rPr>
        <w:t>供应商</w:t>
      </w:r>
      <w:r>
        <w:rPr>
          <w:rFonts w:hint="eastAsia" w:ascii="宋体" w:hAnsi="宋体" w:cs="宋体"/>
          <w:color w:val="auto"/>
          <w:sz w:val="24"/>
        </w:rPr>
        <w:t>中标或者排斥其他</w:t>
      </w:r>
      <w:r>
        <w:rPr>
          <w:rFonts w:hint="eastAsia" w:ascii="宋体" w:hAnsi="宋体" w:cs="宋体"/>
          <w:color w:val="auto"/>
          <w:sz w:val="24"/>
          <w:lang w:val="en-US" w:eastAsia="zh-CN"/>
        </w:rPr>
        <w:t>供应商</w:t>
      </w:r>
      <w:r>
        <w:rPr>
          <w:rFonts w:hint="eastAsia" w:ascii="宋体" w:hAnsi="宋体" w:cs="宋体"/>
          <w:color w:val="auto"/>
          <w:sz w:val="24"/>
        </w:rPr>
        <w:t>的其他串通行为。</w:t>
      </w:r>
    </w:p>
    <w:p>
      <w:pPr>
        <w:spacing w:line="360" w:lineRule="auto"/>
        <w:ind w:firstLine="472" w:firstLineChars="196"/>
        <w:contextualSpacing/>
        <w:jc w:val="left"/>
        <w:rPr>
          <w:rFonts w:hint="eastAsia" w:ascii="宋体" w:hAnsi="宋体" w:cs="宋体"/>
          <w:b/>
          <w:color w:val="auto"/>
          <w:sz w:val="24"/>
        </w:rPr>
      </w:pPr>
      <w:r>
        <w:rPr>
          <w:rFonts w:hint="eastAsia" w:ascii="宋体" w:hAnsi="宋体" w:cs="宋体"/>
          <w:b/>
          <w:color w:val="auto"/>
          <w:sz w:val="24"/>
        </w:rPr>
        <w:t>以上情形一经核查属实，我方愿意承担一切后果，并不再寻求任何旨在减轻或者免除法律责任的辩解。</w:t>
      </w:r>
    </w:p>
    <w:p>
      <w:pPr>
        <w:spacing w:line="360" w:lineRule="auto"/>
        <w:ind w:firstLine="6840" w:firstLineChars="2850"/>
        <w:contextualSpacing/>
        <w:rPr>
          <w:rFonts w:hint="eastAsia" w:ascii="宋体" w:hAnsi="宋体" w:cs="宋体"/>
          <w:color w:val="auto"/>
          <w:kern w:val="0"/>
          <w:sz w:val="24"/>
        </w:rPr>
      </w:pPr>
    </w:p>
    <w:p>
      <w:pPr>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sz w:val="24"/>
          <w:lang w:val="en-US" w:eastAsia="zh-CN"/>
        </w:rPr>
        <w:t>供应商</w:t>
      </w:r>
      <w:r>
        <w:rPr>
          <w:rFonts w:hint="eastAsia" w:ascii="宋体" w:hAnsi="宋体" w:cs="宋体"/>
          <w:color w:val="auto"/>
          <w:kern w:val="0"/>
          <w:sz w:val="24"/>
        </w:rPr>
        <w:t>名称（公章）：</w:t>
      </w:r>
    </w:p>
    <w:p>
      <w:pPr>
        <w:spacing w:line="360" w:lineRule="auto"/>
        <w:contextualSpacing/>
        <w:rPr>
          <w:rFonts w:hint="eastAsia" w:ascii="宋体" w:hAnsi="宋体" w:cs="宋体"/>
          <w:color w:val="auto"/>
          <w:kern w:val="0"/>
          <w:sz w:val="24"/>
          <w:szCs w:val="21"/>
        </w:rPr>
      </w:pPr>
      <w:r>
        <w:rPr>
          <w:rFonts w:hint="eastAsia" w:ascii="宋体" w:hAnsi="宋体" w:cs="宋体"/>
          <w:color w:val="auto"/>
          <w:kern w:val="0"/>
          <w:sz w:val="24"/>
          <w:szCs w:val="21"/>
        </w:rPr>
        <w:t xml:space="preserve">                                           </w:t>
      </w:r>
    </w:p>
    <w:p>
      <w:pPr>
        <w:spacing w:line="360" w:lineRule="auto"/>
        <w:ind w:firstLine="4440" w:firstLineChars="1850"/>
        <w:contextualSpacing/>
        <w:rPr>
          <w:rFonts w:hint="eastAsia" w:cs="仿宋_GB2312"/>
          <w:caps w:val="0"/>
          <w:color w:val="auto"/>
          <w:sz w:val="28"/>
          <w:szCs w:val="28"/>
          <w:highlight w:val="none"/>
          <w:lang w:val="en-US" w:eastAsia="zh-CN"/>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cs="仿宋_GB2312"/>
          <w:caps w:val="0"/>
          <w:color w:val="auto"/>
          <w:sz w:val="28"/>
          <w:szCs w:val="28"/>
          <w:highlight w:val="none"/>
          <w:lang w:val="en-US" w:eastAsia="zh-CN"/>
        </w:rPr>
        <w:br w:type="page"/>
      </w:r>
    </w:p>
    <w:p>
      <w:pPr>
        <w:pStyle w:val="2"/>
        <w:rPr>
          <w:rFonts w:hint="eastAsia"/>
          <w:color w:val="auto"/>
          <w:lang w:val="en-US" w:eastAsia="zh-CN"/>
        </w:rPr>
      </w:pPr>
    </w:p>
    <w:p>
      <w:pPr>
        <w:tabs>
          <w:tab w:val="left" w:pos="3055"/>
        </w:tabs>
        <w:jc w:val="center"/>
        <w:rPr>
          <w:b/>
          <w:color w:val="auto"/>
          <w:sz w:val="30"/>
          <w:szCs w:val="30"/>
        </w:rPr>
      </w:pPr>
      <w:r>
        <w:rPr>
          <w:rFonts w:hint="eastAsia" w:ascii="宋体" w:hAnsi="宋体" w:cs="Courier New"/>
          <w:b/>
          <w:bCs/>
          <w:color w:val="auto"/>
          <w:sz w:val="32"/>
          <w:szCs w:val="32"/>
          <w:lang w:eastAsia="zh-CN"/>
        </w:rPr>
        <w:t>第三章</w:t>
      </w:r>
      <w:r>
        <w:rPr>
          <w:rFonts w:hint="eastAsia" w:ascii="宋体" w:hAnsi="宋体" w:cs="Courier New"/>
          <w:b/>
          <w:bCs/>
          <w:color w:val="auto"/>
          <w:sz w:val="32"/>
          <w:szCs w:val="32"/>
          <w:lang w:val="en-US" w:eastAsia="zh-CN"/>
        </w:rPr>
        <w:t xml:space="preserve"> </w:t>
      </w:r>
      <w:r>
        <w:rPr>
          <w:rFonts w:hint="eastAsia" w:ascii="宋体" w:hAnsi="宋体" w:cs="Courier New"/>
          <w:b/>
          <w:bCs/>
          <w:color w:val="auto"/>
          <w:sz w:val="32"/>
          <w:szCs w:val="32"/>
        </w:rPr>
        <w:t>评</w:t>
      </w:r>
      <w:r>
        <w:rPr>
          <w:rFonts w:hint="eastAsia" w:ascii="宋体" w:hAnsi="宋体" w:cs="Courier New"/>
          <w:b/>
          <w:bCs/>
          <w:color w:val="auto"/>
          <w:sz w:val="32"/>
          <w:szCs w:val="32"/>
          <w:lang w:eastAsia="zh-CN"/>
        </w:rPr>
        <w:t>审</w:t>
      </w:r>
      <w:r>
        <w:rPr>
          <w:rFonts w:hint="eastAsia" w:ascii="宋体" w:hAnsi="宋体" w:cs="Courier New"/>
          <w:b/>
          <w:bCs/>
          <w:color w:val="auto"/>
          <w:sz w:val="32"/>
          <w:szCs w:val="32"/>
        </w:rPr>
        <w:t>方法及评</w:t>
      </w:r>
      <w:r>
        <w:rPr>
          <w:rFonts w:hint="eastAsia" w:ascii="宋体" w:hAnsi="宋体" w:cs="Courier New"/>
          <w:b/>
          <w:bCs/>
          <w:color w:val="auto"/>
          <w:sz w:val="32"/>
          <w:szCs w:val="32"/>
          <w:lang w:eastAsia="zh-CN"/>
        </w:rPr>
        <w:t>审</w:t>
      </w:r>
      <w:r>
        <w:rPr>
          <w:rFonts w:hint="eastAsia" w:ascii="宋体" w:hAnsi="宋体" w:cs="Courier New"/>
          <w:b/>
          <w:bCs/>
          <w:color w:val="auto"/>
          <w:sz w:val="32"/>
          <w:szCs w:val="32"/>
        </w:rPr>
        <w:t>标准</w:t>
      </w:r>
    </w:p>
    <w:p>
      <w:pPr>
        <w:spacing w:line="390" w:lineRule="exact"/>
        <w:ind w:right="-256" w:rightChars="-80" w:firstLine="482" w:firstLineChars="200"/>
        <w:rPr>
          <w:rFonts w:ascii="仿宋_GB2312" w:eastAsia="仿宋_GB2312"/>
          <w:b/>
          <w:bCs/>
          <w:color w:val="auto"/>
          <w:sz w:val="24"/>
        </w:rPr>
      </w:pPr>
      <w:r>
        <w:rPr>
          <w:rFonts w:hint="eastAsia" w:ascii="仿宋_GB2312" w:eastAsia="仿宋_GB2312"/>
          <w:b/>
          <w:bCs/>
          <w:color w:val="auto"/>
          <w:sz w:val="24"/>
        </w:rPr>
        <w:t>一、评</w:t>
      </w:r>
      <w:r>
        <w:rPr>
          <w:rFonts w:hint="eastAsia" w:ascii="仿宋_GB2312"/>
          <w:b/>
          <w:bCs/>
          <w:color w:val="auto"/>
          <w:sz w:val="24"/>
          <w:lang w:eastAsia="zh-CN"/>
        </w:rPr>
        <w:t>审</w:t>
      </w:r>
      <w:r>
        <w:rPr>
          <w:rFonts w:hint="eastAsia" w:ascii="仿宋_GB2312" w:eastAsia="仿宋_GB2312"/>
          <w:b/>
          <w:bCs/>
          <w:color w:val="auto"/>
          <w:sz w:val="24"/>
        </w:rPr>
        <w:t>原则</w:t>
      </w:r>
    </w:p>
    <w:p>
      <w:pPr>
        <w:spacing w:line="390" w:lineRule="exact"/>
        <w:ind w:right="-256" w:rightChars="-80"/>
        <w:rPr>
          <w:rFonts w:ascii="仿宋_GB2312" w:eastAsia="仿宋_GB2312"/>
          <w:color w:val="auto"/>
          <w:sz w:val="24"/>
        </w:rPr>
      </w:pPr>
      <w:r>
        <w:rPr>
          <w:rFonts w:hint="eastAsia" w:ascii="仿宋_GB2312" w:eastAsia="仿宋_GB2312"/>
          <w:color w:val="auto"/>
          <w:sz w:val="24"/>
        </w:rPr>
        <w:t xml:space="preserve">    （一）评审小组成员组成：本采购项目的评审小组由采购人统一安排，共三人以上的单数组成。</w:t>
      </w:r>
    </w:p>
    <w:p>
      <w:pPr>
        <w:spacing w:line="390" w:lineRule="exact"/>
        <w:ind w:right="-256" w:rightChars="-80" w:firstLine="435"/>
        <w:rPr>
          <w:rFonts w:hint="eastAsia" w:ascii="仿宋_GB2312" w:eastAsia="仿宋_GB2312"/>
          <w:b/>
          <w:color w:val="auto"/>
          <w:sz w:val="24"/>
        </w:rPr>
      </w:pPr>
      <w:r>
        <w:rPr>
          <w:rFonts w:hint="eastAsia" w:ascii="仿宋_GB2312" w:eastAsia="仿宋_GB2312"/>
          <w:b/>
          <w:color w:val="auto"/>
          <w:sz w:val="24"/>
        </w:rPr>
        <w:t>（二）评审依据：评审小组以采购文件和响应文件为依据，对参与供应商的价格、</w:t>
      </w:r>
      <w:r>
        <w:rPr>
          <w:rFonts w:hint="eastAsia" w:ascii="仿宋_GB2312"/>
          <w:b/>
          <w:color w:val="auto"/>
          <w:sz w:val="24"/>
          <w:lang w:eastAsia="zh-CN"/>
        </w:rPr>
        <w:t>技术性能</w:t>
      </w:r>
      <w:r>
        <w:rPr>
          <w:rFonts w:hint="eastAsia" w:ascii="仿宋_GB2312" w:eastAsia="仿宋_GB2312"/>
          <w:b/>
          <w:color w:val="auto"/>
          <w:sz w:val="24"/>
        </w:rPr>
        <w:t>、信誉等方面按百分制打分。</w:t>
      </w:r>
    </w:p>
    <w:p>
      <w:pPr>
        <w:spacing w:line="390" w:lineRule="exact"/>
        <w:ind w:right="-256" w:rightChars="-80" w:firstLine="435"/>
        <w:rPr>
          <w:rFonts w:hint="eastAsia" w:ascii="仿宋_GB2312" w:eastAsia="仿宋_GB2312"/>
          <w:b w:val="0"/>
          <w:bCs/>
          <w:color w:val="auto"/>
          <w:sz w:val="24"/>
        </w:rPr>
      </w:pPr>
      <w:r>
        <w:rPr>
          <w:rFonts w:hint="eastAsia" w:ascii="仿宋_GB2312" w:eastAsia="仿宋_GB2312"/>
          <w:b w:val="0"/>
          <w:bCs/>
          <w:color w:val="auto"/>
          <w:sz w:val="24"/>
        </w:rPr>
        <w:t>（三）评审方式：以封闭方式进行。</w:t>
      </w:r>
    </w:p>
    <w:p>
      <w:pPr>
        <w:spacing w:line="390" w:lineRule="exact"/>
        <w:ind w:right="-256" w:rightChars="-80" w:firstLine="435"/>
        <w:rPr>
          <w:rFonts w:ascii="仿宋_GB2312" w:eastAsia="仿宋_GB2312"/>
          <w:b w:val="0"/>
          <w:bCs/>
          <w:color w:val="auto"/>
          <w:sz w:val="24"/>
        </w:rPr>
      </w:pPr>
      <w:r>
        <w:rPr>
          <w:rFonts w:hint="eastAsia" w:ascii="仿宋_GB2312" w:eastAsia="仿宋_GB2312"/>
          <w:b w:val="0"/>
          <w:bCs/>
          <w:color w:val="auto"/>
          <w:sz w:val="24"/>
        </w:rPr>
        <w:t xml:space="preserve">（四）评审小组认为参与供应商的报价明显低于其他通过符合性审查供应商的报价，有可能影响产品质量或者不能诚信履约的，应当要求其在评审现场合理的时间内提供书面说明，必要时提交相关证明材料；参与供应商不能证明其报价合理性的，评审小组不推荐该供应商为成交候选供应商。    </w:t>
      </w:r>
    </w:p>
    <w:p>
      <w:pPr>
        <w:spacing w:line="390" w:lineRule="exact"/>
        <w:ind w:right="-256" w:rightChars="-80" w:firstLine="435"/>
        <w:rPr>
          <w:rFonts w:ascii="仿宋_GB2312" w:eastAsia="仿宋_GB2312"/>
          <w:b/>
          <w:bCs/>
          <w:color w:val="auto"/>
          <w:sz w:val="24"/>
        </w:rPr>
      </w:pPr>
      <w:r>
        <w:rPr>
          <w:rFonts w:hint="eastAsia" w:ascii="仿宋_GB2312" w:eastAsia="仿宋_GB2312"/>
          <w:b/>
          <w:bCs/>
          <w:color w:val="auto"/>
          <w:sz w:val="24"/>
        </w:rPr>
        <w:t>二、评</w:t>
      </w:r>
      <w:r>
        <w:rPr>
          <w:rFonts w:hint="eastAsia" w:ascii="仿宋_GB2312"/>
          <w:b/>
          <w:bCs/>
          <w:color w:val="auto"/>
          <w:sz w:val="24"/>
          <w:lang w:eastAsia="zh-CN"/>
        </w:rPr>
        <w:t>审</w:t>
      </w:r>
      <w:r>
        <w:rPr>
          <w:rFonts w:hint="eastAsia" w:ascii="仿宋_GB2312" w:eastAsia="仿宋_GB2312"/>
          <w:b/>
          <w:bCs/>
          <w:color w:val="auto"/>
          <w:sz w:val="24"/>
        </w:rPr>
        <w:t>方法</w:t>
      </w:r>
      <w:r>
        <w:rPr>
          <w:rFonts w:ascii="仿宋_GB2312" w:eastAsia="仿宋_GB2312"/>
          <w:b/>
          <w:bCs/>
          <w:color w:val="auto"/>
          <w:sz w:val="24"/>
        </w:rPr>
        <w:tab/>
      </w:r>
    </w:p>
    <w:p>
      <w:pPr>
        <w:spacing w:line="390" w:lineRule="exact"/>
        <w:ind w:right="-256" w:rightChars="-80" w:firstLine="435"/>
        <w:rPr>
          <w:rFonts w:ascii="仿宋_GB2312" w:eastAsia="仿宋_GB2312"/>
          <w:color w:val="auto"/>
          <w:sz w:val="24"/>
        </w:rPr>
      </w:pPr>
      <w:r>
        <w:rPr>
          <w:rFonts w:hint="eastAsia" w:ascii="仿宋_GB2312" w:eastAsia="仿宋_GB2312"/>
          <w:color w:val="auto"/>
          <w:sz w:val="24"/>
        </w:rPr>
        <w:t>（一）对进入详评的，采用百分制综合评分法。</w:t>
      </w:r>
    </w:p>
    <w:p>
      <w:pPr>
        <w:spacing w:line="400" w:lineRule="atLeas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27"/>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hint="eastAsia" w:ascii="仿宋_GB2312" w:hAnsi="仿宋_GB2312" w:eastAsia="仿宋_GB2312" w:cs="仿宋_GB2312"/>
                <w:b/>
                <w:color w:val="auto"/>
              </w:rPr>
            </w:pPr>
            <w:r>
              <w:rPr>
                <w:rFonts w:hint="eastAsia" w:ascii="仿宋_GB2312" w:eastAsia="仿宋_GB2312"/>
                <w:b/>
                <w:color w:val="auto"/>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776"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1035"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56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w:t>
            </w:r>
            <w:r>
              <w:rPr>
                <w:rFonts w:hint="eastAsia" w:ascii="仿宋_GB2312" w:hAnsi="仿宋_GB2312" w:cs="仿宋_GB2312"/>
                <w:b/>
                <w:color w:val="auto"/>
                <w:sz w:val="21"/>
                <w:szCs w:val="21"/>
                <w:lang w:eastAsia="zh-CN"/>
              </w:rPr>
              <w:t>响应</w:t>
            </w:r>
            <w:r>
              <w:rPr>
                <w:rFonts w:hint="eastAsia" w:ascii="仿宋_GB2312" w:hAnsi="仿宋_GB2312" w:eastAsia="仿宋_GB2312" w:cs="仿宋_GB2312"/>
                <w:b/>
                <w:color w:val="auto"/>
                <w:sz w:val="21"/>
                <w:szCs w:val="21"/>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5776" w:type="dxa"/>
            <w:vAlign w:val="center"/>
          </w:tcPr>
          <w:p>
            <w:pPr>
              <w:spacing w:line="44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1.满足</w:t>
            </w:r>
            <w:r>
              <w:rPr>
                <w:rFonts w:hint="eastAsia" w:ascii="仿宋_GB2312"/>
                <w:b w:val="0"/>
                <w:bCs w:val="0"/>
                <w:color w:val="auto"/>
                <w:sz w:val="22"/>
                <w:szCs w:val="22"/>
                <w:lang w:eastAsia="zh-CN"/>
              </w:rPr>
              <w:t>采购</w:t>
            </w:r>
            <w:r>
              <w:rPr>
                <w:rFonts w:hint="eastAsia" w:ascii="仿宋_GB2312" w:hAnsi="仿宋_GB2312" w:eastAsia="仿宋_GB2312" w:cs="仿宋_GB2312"/>
                <w:color w:val="auto"/>
                <w:sz w:val="21"/>
                <w:szCs w:val="21"/>
              </w:rPr>
              <w:t>文件要求且</w:t>
            </w:r>
            <w:r>
              <w:rPr>
                <w:rFonts w:hint="eastAsia" w:ascii="仿宋_GB2312" w:hAnsi="仿宋_GB2312" w:cs="仿宋_GB2312"/>
                <w:color w:val="auto"/>
                <w:sz w:val="21"/>
                <w:szCs w:val="21"/>
                <w:lang w:eastAsia="zh-CN"/>
              </w:rPr>
              <w:t>报价</w:t>
            </w:r>
            <w:r>
              <w:rPr>
                <w:rFonts w:hint="eastAsia" w:ascii="仿宋_GB2312" w:hAnsi="仿宋_GB2312" w:eastAsia="仿宋_GB2312" w:cs="仿宋_GB2312"/>
                <w:color w:val="auto"/>
                <w:sz w:val="21"/>
                <w:szCs w:val="21"/>
              </w:rPr>
              <w:t>最低的</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报价为评标基准价，其</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的报价分为最高分30分；</w:t>
            </w:r>
          </w:p>
          <w:p>
            <w:pPr>
              <w:spacing w:line="440" w:lineRule="exact"/>
              <w:ind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的报价得分按以下公式计算：</w:t>
            </w:r>
          </w:p>
          <w:p>
            <w:pPr>
              <w:pStyle w:val="2"/>
              <w:ind w:left="0" w:leftChars="0" w:firstLine="0" w:firstLineChars="0"/>
              <w:rPr>
                <w:rFonts w:hint="eastAsia"/>
                <w:color w:val="auto"/>
              </w:rPr>
            </w:pPr>
            <w:r>
              <w:rPr>
                <w:rFonts w:hint="eastAsia" w:ascii="仿宋_GB2312" w:hAnsi="仿宋_GB2312" w:eastAsia="仿宋_GB2312" w:cs="仿宋_GB2312"/>
                <w:color w:val="auto"/>
                <w:sz w:val="21"/>
                <w:szCs w:val="21"/>
              </w:rPr>
              <w:t>报价得分=（评标基准价／某</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报价）*30分；</w:t>
            </w:r>
          </w:p>
        </w:tc>
        <w:tc>
          <w:tcPr>
            <w:tcW w:w="1035" w:type="dxa"/>
            <w:vAlign w:val="center"/>
          </w:tcPr>
          <w:p>
            <w:pPr>
              <w:spacing w:line="360" w:lineRule="exact"/>
              <w:jc w:val="center"/>
              <w:rPr>
                <w:rFonts w:hint="eastAsia" w:ascii="仿宋_GB2312" w:hAnsi="仿宋_GB2312" w:cs="仿宋_GB2312"/>
                <w:b/>
                <w:color w:val="auto"/>
                <w:sz w:val="21"/>
                <w:szCs w:val="21"/>
              </w:rPr>
            </w:pPr>
            <w:r>
              <w:rPr>
                <w:rFonts w:ascii="仿宋_GB2312" w:hAnsi="仿宋_GB2312" w:eastAsia="仿宋_GB2312" w:cs="仿宋_GB2312"/>
                <w:b/>
                <w:bCs/>
                <w:color w:val="auto"/>
                <w:sz w:val="21"/>
                <w:szCs w:val="21"/>
              </w:rPr>
              <w:t>30</w:t>
            </w:r>
          </w:p>
        </w:tc>
        <w:tc>
          <w:tcPr>
            <w:tcW w:w="1560" w:type="dxa"/>
            <w:vAlign w:val="center"/>
          </w:tcPr>
          <w:p>
            <w:pPr>
              <w:spacing w:line="360" w:lineRule="exact"/>
              <w:jc w:val="center"/>
              <w:rPr>
                <w:rFonts w:hint="eastAsia" w:ascii="仿宋_GB2312" w:hAnsi="仿宋_GB2312" w:eastAsia="仿宋_GB2312" w:cs="仿宋_GB2312"/>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849"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信誉分</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体系认证</w:t>
            </w:r>
          </w:p>
        </w:tc>
        <w:tc>
          <w:tcPr>
            <w:tcW w:w="57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rPr>
            </w:pPr>
            <w:r>
              <w:rPr>
                <w:rFonts w:ascii="仿宋_GB2312" w:hAnsi="仿宋_GB2312" w:eastAsia="仿宋_GB2312" w:cs="仿宋_GB2312"/>
                <w:color w:val="auto"/>
                <w:sz w:val="21"/>
                <w:szCs w:val="21"/>
              </w:rPr>
              <w:t>1.</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或所投核心产品生产厂商具备有效的质量管理体系认证证书得1分，满分1分；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w:t>
            </w:r>
            <w:r>
              <w:rPr>
                <w:rFonts w:ascii="仿宋_GB2312" w:hAnsi="仿宋_GB2312" w:eastAsia="仿宋_GB2312" w:cs="仿宋_GB2312"/>
                <w:color w:val="auto"/>
                <w:sz w:val="21"/>
                <w:szCs w:val="21"/>
              </w:rPr>
              <w:t>.</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或所投核心产品生产厂商具备有效的职业健康安全管理体系认证证书得1分，满分1分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w:t>
            </w:r>
            <w:r>
              <w:rPr>
                <w:rFonts w:ascii="仿宋_GB2312" w:hAnsi="仿宋_GB2312" w:eastAsia="仿宋_GB2312" w:cs="仿宋_GB2312"/>
                <w:color w:val="auto"/>
                <w:sz w:val="21"/>
                <w:szCs w:val="21"/>
              </w:rPr>
              <w:t>.</w:t>
            </w:r>
            <w:r>
              <w:rPr>
                <w:rFonts w:hint="eastAsia" w:ascii="仿宋_GB2312" w:hAnsi="仿宋_GB2312" w:cs="仿宋_GB2312"/>
                <w:color w:val="auto"/>
                <w:sz w:val="21"/>
                <w:szCs w:val="21"/>
                <w:lang w:eastAsia="zh-CN"/>
              </w:rPr>
              <w:t>供应商</w:t>
            </w:r>
            <w:r>
              <w:rPr>
                <w:rFonts w:hint="eastAsia" w:ascii="仿宋_GB2312" w:hAnsi="仿宋_GB2312" w:eastAsia="仿宋_GB2312" w:cs="仿宋_GB2312"/>
                <w:color w:val="auto"/>
                <w:sz w:val="21"/>
                <w:szCs w:val="21"/>
              </w:rPr>
              <w:t>或所投核心产品生产厂商具备有效的环境管理体系认证证书得1分，满分1分</w:t>
            </w:r>
            <w:r>
              <w:rPr>
                <w:rFonts w:hint="eastAsia" w:ascii="仿宋_GB2312" w:hAnsi="仿宋_GB2312" w:eastAsia="仿宋_GB2312" w:cs="仿宋_GB2312"/>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注：供应商提供证书材料并加盖供应商</w:t>
            </w:r>
            <w:r>
              <w:rPr>
                <w:rFonts w:ascii="仿宋_GB2312" w:hAnsi="仿宋_GB2312" w:eastAsia="仿宋_GB2312" w:cs="仿宋_GB2312"/>
                <w:b/>
                <w:color w:val="auto"/>
                <w:sz w:val="21"/>
                <w:szCs w:val="21"/>
              </w:rPr>
              <w:t>CA电子签章</w:t>
            </w:r>
            <w:r>
              <w:rPr>
                <w:rFonts w:hint="eastAsia" w:ascii="仿宋_GB2312" w:hAnsi="仿宋_GB2312" w:eastAsia="仿宋_GB2312" w:cs="仿宋_GB2312"/>
                <w:b/>
                <w:color w:val="auto"/>
                <w:sz w:val="21"/>
                <w:szCs w:val="21"/>
              </w:rPr>
              <w:t>，否则不予计分。</w:t>
            </w:r>
          </w:p>
        </w:tc>
        <w:tc>
          <w:tcPr>
            <w:tcW w:w="1035"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3</w:t>
            </w:r>
          </w:p>
        </w:tc>
        <w:tc>
          <w:tcPr>
            <w:tcW w:w="156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技术性能分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技术参数</w:t>
            </w:r>
          </w:p>
        </w:tc>
        <w:tc>
          <w:tcPr>
            <w:tcW w:w="5776" w:type="dxa"/>
            <w:vAlign w:val="center"/>
          </w:tcPr>
          <w:p>
            <w:pPr>
              <w:widowControl/>
              <w:spacing w:line="460" w:lineRule="exact"/>
              <w:ind w:firstLine="420" w:firstLineChars="200"/>
              <w:rPr>
                <w:rFonts w:hint="eastAsia" w:ascii="仿宋" w:hAnsi="仿宋" w:eastAsia="仿宋" w:cs="仿宋_GB2312"/>
                <w:color w:val="auto"/>
                <w:sz w:val="21"/>
                <w:szCs w:val="21"/>
              </w:rPr>
            </w:pPr>
            <w:r>
              <w:rPr>
                <w:rFonts w:hint="eastAsia" w:ascii="仿宋" w:hAnsi="仿宋" w:eastAsia="仿宋" w:cs="仿宋_GB2312"/>
                <w:color w:val="auto"/>
                <w:sz w:val="21"/>
                <w:szCs w:val="21"/>
              </w:rPr>
              <w:t>所投产品标记“◆”带波浪线“</w:t>
            </w:r>
            <w:r>
              <w:rPr>
                <w:rFonts w:hint="eastAsia" w:ascii="仿宋_GB2312" w:hAnsi="仿宋_GB2312" w:eastAsia="仿宋_GB2312" w:cs="仿宋_GB2312"/>
                <w:color w:val="auto"/>
                <w:u w:val="wave"/>
              </w:rPr>
              <w:t xml:space="preserve">    </w:t>
            </w:r>
            <w:r>
              <w:rPr>
                <w:rFonts w:hint="eastAsia" w:ascii="仿宋" w:hAnsi="仿宋" w:eastAsia="仿宋" w:cs="仿宋_GB2312"/>
                <w:color w:val="auto"/>
                <w:sz w:val="21"/>
                <w:szCs w:val="21"/>
              </w:rPr>
              <w:t>”的技术参数内容优于采购需求的，每有一项得</w:t>
            </w:r>
            <w:r>
              <w:rPr>
                <w:rFonts w:hint="eastAsia" w:ascii="仿宋" w:hAnsi="仿宋" w:eastAsia="仿宋" w:cs="仿宋_GB2312"/>
                <w:color w:val="auto"/>
                <w:sz w:val="21"/>
                <w:szCs w:val="21"/>
                <w:lang w:val="en-US" w:eastAsia="zh-CN"/>
              </w:rPr>
              <w:t>4.375</w:t>
            </w:r>
            <w:r>
              <w:rPr>
                <w:rFonts w:hint="eastAsia" w:ascii="仿宋" w:hAnsi="仿宋" w:eastAsia="仿宋" w:cs="仿宋_GB2312"/>
                <w:color w:val="auto"/>
                <w:sz w:val="21"/>
                <w:szCs w:val="21"/>
              </w:rPr>
              <w:t>分，满分3</w:t>
            </w:r>
            <w:r>
              <w:rPr>
                <w:rFonts w:hint="eastAsia" w:ascii="仿宋" w:hAnsi="仿宋" w:eastAsia="仿宋" w:cs="仿宋_GB2312"/>
                <w:color w:val="auto"/>
                <w:sz w:val="21"/>
                <w:szCs w:val="21"/>
                <w:lang w:val="en-US" w:eastAsia="zh-CN"/>
              </w:rPr>
              <w:t>5</w:t>
            </w:r>
            <w:r>
              <w:rPr>
                <w:rFonts w:hint="eastAsia" w:ascii="仿宋" w:hAnsi="仿宋" w:eastAsia="仿宋" w:cs="仿宋_GB2312"/>
                <w:color w:val="auto"/>
                <w:sz w:val="21"/>
                <w:szCs w:val="21"/>
              </w:rPr>
              <w:t>分。</w:t>
            </w:r>
          </w:p>
          <w:p>
            <w:pPr>
              <w:widowControl/>
              <w:spacing w:line="460" w:lineRule="exact"/>
              <w:ind w:firstLine="422" w:firstLineChars="200"/>
              <w:rPr>
                <w:rFonts w:hint="eastAsia" w:ascii="仿宋" w:hAnsi="仿宋" w:eastAsia="仿宋" w:cs="仿宋_GB2312"/>
                <w:b/>
                <w:bCs/>
                <w:color w:val="auto"/>
                <w:sz w:val="21"/>
                <w:szCs w:val="21"/>
              </w:rPr>
            </w:pPr>
            <w:r>
              <w:rPr>
                <w:rFonts w:hint="eastAsia" w:ascii="仿宋" w:hAnsi="仿宋" w:eastAsia="仿宋" w:cs="仿宋_GB2312"/>
                <w:b/>
                <w:bCs/>
                <w:color w:val="auto"/>
                <w:sz w:val="21"/>
                <w:szCs w:val="21"/>
              </w:rPr>
              <w:t>注：1.标记“◆”的技术参数为一项；</w:t>
            </w:r>
          </w:p>
          <w:p>
            <w:pPr>
              <w:widowControl/>
              <w:spacing w:line="460" w:lineRule="exact"/>
              <w:ind w:firstLine="422" w:firstLineChars="200"/>
              <w:rPr>
                <w:rFonts w:hint="eastAsia" w:ascii="仿宋" w:hAnsi="仿宋" w:eastAsia="仿宋" w:cs="仿宋_GB2312"/>
                <w:b/>
                <w:bCs/>
                <w:color w:val="auto"/>
                <w:sz w:val="21"/>
                <w:szCs w:val="21"/>
              </w:rPr>
            </w:pPr>
            <w:r>
              <w:rPr>
                <w:rFonts w:hint="eastAsia" w:ascii="仿宋" w:hAnsi="仿宋" w:eastAsia="仿宋" w:cs="仿宋_GB2312"/>
                <w:b/>
                <w:bCs/>
                <w:color w:val="auto"/>
                <w:sz w:val="21"/>
                <w:szCs w:val="21"/>
              </w:rPr>
              <w:t>2.标记“◆”的技术参数为一项，如一项里有多个参数，优于其中一个带波浪线“</w:t>
            </w:r>
            <w:r>
              <w:rPr>
                <w:rFonts w:hint="eastAsia" w:ascii="仿宋_GB2312" w:hAnsi="仿宋_GB2312" w:eastAsia="仿宋_GB2312" w:cs="仿宋_GB2312"/>
                <w:color w:val="auto"/>
                <w:u w:val="wave"/>
              </w:rPr>
              <w:t xml:space="preserve">    </w:t>
            </w:r>
            <w:r>
              <w:rPr>
                <w:rFonts w:hint="eastAsia" w:ascii="仿宋" w:hAnsi="仿宋" w:eastAsia="仿宋" w:cs="仿宋_GB2312"/>
                <w:b/>
                <w:bCs/>
                <w:color w:val="auto"/>
                <w:sz w:val="21"/>
                <w:szCs w:val="21"/>
              </w:rPr>
              <w:t>”数值即可加分；其中参数条款中≥XX的技术参数，供应商响应的参数仅等于XX的为无偏离，&gt;XX为正偏离（优于）；≤XX的技术参数，供应商响应的参数仅等于XX的为无偏离，＜XX为正偏离（优于）。</w:t>
            </w:r>
          </w:p>
          <w:p>
            <w:pPr>
              <w:widowControl/>
              <w:spacing w:line="460" w:lineRule="exact"/>
              <w:ind w:firstLine="422" w:firstLineChars="200"/>
              <w:rPr>
                <w:rFonts w:hint="eastAsia" w:ascii="仿宋" w:hAnsi="仿宋" w:eastAsia="仿宋" w:cs="仿宋_GB2312"/>
                <w:color w:val="auto"/>
                <w:sz w:val="21"/>
                <w:szCs w:val="21"/>
              </w:rPr>
            </w:pPr>
            <w:r>
              <w:rPr>
                <w:rFonts w:hint="eastAsia" w:ascii="仿宋" w:hAnsi="仿宋" w:eastAsia="仿宋" w:cs="仿宋_GB2312"/>
                <w:b/>
                <w:bCs/>
                <w:color w:val="auto"/>
                <w:sz w:val="21"/>
                <w:szCs w:val="21"/>
              </w:rPr>
              <w:t>3.标记“◆”带波浪线“</w:t>
            </w:r>
            <w:r>
              <w:rPr>
                <w:rFonts w:hint="eastAsia" w:ascii="仿宋_GB2312" w:hAnsi="仿宋_GB2312" w:eastAsia="仿宋_GB2312" w:cs="仿宋_GB2312"/>
                <w:color w:val="auto"/>
                <w:u w:val="wave"/>
              </w:rPr>
              <w:t xml:space="preserve">    </w:t>
            </w:r>
            <w:r>
              <w:rPr>
                <w:rFonts w:hint="eastAsia" w:ascii="仿宋" w:hAnsi="仿宋" w:eastAsia="仿宋" w:cs="仿宋_GB2312"/>
                <w:b/>
                <w:bCs/>
                <w:color w:val="auto"/>
                <w:sz w:val="21"/>
                <w:szCs w:val="21"/>
              </w:rPr>
              <w:t>”的技术参数中内容优于采购需求的，供应商提供具有CMA标识的检测（检验）报告或其他证明材料（可以是彩页、官网或功能截图等其中任意一项）并加盖</w:t>
            </w:r>
            <w:r>
              <w:rPr>
                <w:rFonts w:hint="eastAsia" w:ascii="仿宋_GB2312" w:hAnsi="仿宋_GB2312" w:eastAsia="仿宋_GB2312" w:cs="仿宋_GB2312"/>
                <w:b/>
                <w:color w:val="auto"/>
                <w:sz w:val="21"/>
                <w:szCs w:val="21"/>
              </w:rPr>
              <w:t>供应商</w:t>
            </w:r>
            <w:r>
              <w:rPr>
                <w:rFonts w:hint="eastAsia" w:ascii="仿宋" w:hAnsi="仿宋" w:eastAsia="仿宋" w:cs="仿宋_GB2312"/>
                <w:b/>
                <w:bCs/>
                <w:color w:val="auto"/>
                <w:sz w:val="21"/>
                <w:szCs w:val="21"/>
              </w:rPr>
              <w:t>CA电子签章（提供的检测报告能体现标记“◆”带波浪线“</w:t>
            </w:r>
            <w:r>
              <w:rPr>
                <w:rFonts w:hint="eastAsia" w:ascii="仿宋_GB2312" w:hAnsi="仿宋_GB2312" w:eastAsia="仿宋_GB2312" w:cs="仿宋_GB2312"/>
                <w:color w:val="auto"/>
                <w:u w:val="wave"/>
              </w:rPr>
              <w:t xml:space="preserve">    </w:t>
            </w:r>
            <w:r>
              <w:rPr>
                <w:rFonts w:hint="eastAsia" w:ascii="仿宋" w:hAnsi="仿宋" w:eastAsia="仿宋" w:cs="仿宋_GB2312"/>
                <w:b/>
                <w:bCs/>
                <w:color w:val="auto"/>
                <w:sz w:val="21"/>
                <w:szCs w:val="21"/>
              </w:rPr>
              <w:t>”的技术参数），如未提供检测报告或其他证明材料，或提供的检测报告与其他证明材料内容无优于的，对应项不予计分。</w:t>
            </w:r>
          </w:p>
        </w:tc>
        <w:tc>
          <w:tcPr>
            <w:tcW w:w="1035" w:type="dxa"/>
            <w:vAlign w:val="center"/>
          </w:tcPr>
          <w:p>
            <w:pPr>
              <w:spacing w:line="360" w:lineRule="auto"/>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35</w:t>
            </w:r>
          </w:p>
        </w:tc>
        <w:tc>
          <w:tcPr>
            <w:tcW w:w="1560" w:type="dxa"/>
            <w:vAlign w:val="center"/>
          </w:tcPr>
          <w:p>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质量保证期分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质量保证期</w:t>
            </w:r>
          </w:p>
        </w:tc>
        <w:tc>
          <w:tcPr>
            <w:tcW w:w="5776" w:type="dxa"/>
            <w:vAlign w:val="center"/>
          </w:tcPr>
          <w:p>
            <w:pPr>
              <w:spacing w:line="420" w:lineRule="exact"/>
              <w:ind w:firstLine="420"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承诺质量保证期在商务要求基础上延长，每延长半年得0.5分，满分</w:t>
            </w:r>
            <w:r>
              <w:rPr>
                <w:rFonts w:hint="default" w:ascii="仿宋_GB2312" w:hAnsi="仿宋_GB2312" w:cs="仿宋_GB2312"/>
                <w:color w:val="auto"/>
                <w:sz w:val="21"/>
                <w:szCs w:val="21"/>
                <w:lang w:val="en"/>
              </w:rPr>
              <w:t>2</w:t>
            </w:r>
            <w:r>
              <w:rPr>
                <w:rFonts w:hint="eastAsia" w:ascii="仿宋_GB2312" w:hAnsi="仿宋_GB2312" w:eastAsia="仿宋_GB2312" w:cs="仿宋_GB2312"/>
                <w:color w:val="auto"/>
                <w:sz w:val="21"/>
                <w:szCs w:val="21"/>
              </w:rPr>
              <w:t>分。</w:t>
            </w:r>
          </w:p>
        </w:tc>
        <w:tc>
          <w:tcPr>
            <w:tcW w:w="1035" w:type="dxa"/>
            <w:vAlign w:val="center"/>
          </w:tcPr>
          <w:p>
            <w:pPr>
              <w:spacing w:line="360" w:lineRule="exact"/>
              <w:jc w:val="center"/>
              <w:rPr>
                <w:rFonts w:hint="default" w:ascii="仿宋_GB2312" w:hAnsi="仿宋_GB2312" w:eastAsia="仿宋_GB2312" w:cs="仿宋_GB2312"/>
                <w:b/>
                <w:bCs/>
                <w:color w:val="auto"/>
                <w:sz w:val="21"/>
                <w:szCs w:val="21"/>
                <w:lang w:val="en"/>
              </w:rPr>
            </w:pPr>
            <w:r>
              <w:rPr>
                <w:rFonts w:hint="default" w:ascii="仿宋_GB2312" w:hAnsi="仿宋_GB2312" w:cs="仿宋_GB2312"/>
                <w:b/>
                <w:bCs/>
                <w:color w:val="auto"/>
                <w:sz w:val="21"/>
                <w:szCs w:val="21"/>
                <w:lang w:val="en"/>
              </w:rPr>
              <w:t>2</w:t>
            </w:r>
          </w:p>
        </w:tc>
        <w:tc>
          <w:tcPr>
            <w:tcW w:w="156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8"/>
              <w:tabs>
                <w:tab w:val="left" w:pos="312"/>
              </w:tabs>
              <w:spacing w:line="400" w:lineRule="exact"/>
              <w:ind w:firstLine="422" w:firstLineChars="200"/>
              <w:jc w:val="center"/>
              <w:rPr>
                <w:rFonts w:hint="eastAsia" w:ascii="仿宋_GB2312" w:hAnsi="仿宋_GB2312" w:eastAsia="仿宋_GB2312" w:cs="仿宋_GB2312"/>
                <w:color w:val="auto"/>
                <w:sz w:val="21"/>
                <w:szCs w:val="21"/>
              </w:rPr>
            </w:pPr>
            <w:r>
              <w:rPr>
                <w:rFonts w:hint="eastAsia" w:ascii="仿宋_GB2312" w:hAnsi="宋体" w:eastAsia="仿宋_GB2312"/>
                <w:b/>
                <w:bCs/>
                <w:color w:val="auto"/>
                <w:sz w:val="21"/>
                <w:szCs w:val="21"/>
              </w:rPr>
              <w:t>客观分总分</w:t>
            </w:r>
          </w:p>
        </w:tc>
        <w:tc>
          <w:tcPr>
            <w:tcW w:w="1035" w:type="dxa"/>
            <w:vAlign w:val="center"/>
          </w:tcPr>
          <w:p>
            <w:pPr>
              <w:spacing w:line="360" w:lineRule="exact"/>
              <w:jc w:val="center"/>
              <w:rPr>
                <w:rFonts w:hint="default" w:ascii="仿宋_GB2312" w:hAnsi="仿宋_GB2312" w:eastAsia="仿宋_GB2312" w:cs="仿宋_GB2312"/>
                <w:b/>
                <w:bCs/>
                <w:color w:val="auto"/>
                <w:sz w:val="21"/>
                <w:szCs w:val="21"/>
                <w:lang w:val="en" w:eastAsia="zh-CN"/>
              </w:rPr>
            </w:pPr>
            <w:r>
              <w:rPr>
                <w:rFonts w:hint="eastAsia" w:ascii="仿宋_GB2312" w:hAnsi="仿宋_GB2312" w:eastAsia="仿宋_GB2312" w:cs="仿宋_GB2312"/>
                <w:b/>
                <w:bCs/>
                <w:color w:val="auto"/>
                <w:sz w:val="21"/>
                <w:szCs w:val="21"/>
                <w:lang w:val="en-US" w:eastAsia="zh-CN"/>
              </w:rPr>
              <w:t>7</w:t>
            </w:r>
            <w:r>
              <w:rPr>
                <w:rFonts w:hint="default" w:ascii="仿宋_GB2312" w:hAnsi="仿宋_GB2312" w:cs="仿宋_GB2312"/>
                <w:b/>
                <w:bCs/>
                <w:color w:val="auto"/>
                <w:sz w:val="21"/>
                <w:szCs w:val="21"/>
                <w:lang w:val="en" w:eastAsia="zh-CN"/>
              </w:rPr>
              <w:t>0</w:t>
            </w:r>
          </w:p>
        </w:tc>
        <w:tc>
          <w:tcPr>
            <w:tcW w:w="1560" w:type="dxa"/>
            <w:vAlign w:val="center"/>
          </w:tcPr>
          <w:p>
            <w:pPr>
              <w:spacing w:line="360" w:lineRule="exact"/>
              <w:jc w:val="center"/>
              <w:rPr>
                <w:rFonts w:hint="eastAsia" w:ascii="仿宋_GB2312" w:hAnsi="仿宋_GB2312" w:eastAsia="仿宋_GB2312" w:cs="仿宋_GB2312"/>
                <w:color w:val="auto"/>
                <w:sz w:val="21"/>
                <w:szCs w:val="21"/>
              </w:rPr>
            </w:pPr>
          </w:p>
        </w:tc>
      </w:tr>
    </w:tbl>
    <w:p>
      <w:pPr>
        <w:pStyle w:val="2"/>
        <w:ind w:left="0" w:leftChars="0" w:firstLine="0" w:firstLineChars="0"/>
        <w:rPr>
          <w:rFonts w:hint="eastAsia"/>
          <w:color w:val="auto"/>
          <w:sz w:val="21"/>
          <w:szCs w:val="21"/>
        </w:rPr>
      </w:pPr>
    </w:p>
    <w:p>
      <w:pPr>
        <w:pStyle w:val="2"/>
        <w:ind w:left="0" w:leftChars="0" w:firstLine="0" w:firstLineChars="0"/>
        <w:rPr>
          <w:rFonts w:hint="eastAsia"/>
          <w:color w:val="auto"/>
          <w:sz w:val="21"/>
          <w:szCs w:val="21"/>
        </w:rPr>
      </w:pPr>
    </w:p>
    <w:p>
      <w:pPr>
        <w:pStyle w:val="2"/>
        <w:ind w:left="0" w:leftChars="0" w:firstLine="0" w:firstLineChars="0"/>
        <w:rPr>
          <w:rFonts w:hint="eastAsia"/>
          <w:color w:val="auto"/>
          <w:sz w:val="21"/>
          <w:szCs w:val="21"/>
        </w:rPr>
      </w:pPr>
    </w:p>
    <w:tbl>
      <w:tblPr>
        <w:tblStyle w:val="27"/>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eastAsia="仿宋_GB2312"/>
                <w:b/>
                <w:color w:val="auto"/>
                <w:sz w:val="21"/>
                <w:szCs w:val="21"/>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09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859" w:type="dxa"/>
            <w:vAlign w:val="center"/>
          </w:tcPr>
          <w:p>
            <w:pPr>
              <w:spacing w:line="34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967"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550" w:type="dxa"/>
            <w:vAlign w:val="center"/>
          </w:tcPr>
          <w:p>
            <w:pPr>
              <w:spacing w:line="36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w:t>
            </w:r>
            <w:r>
              <w:rPr>
                <w:rFonts w:hint="eastAsia" w:ascii="仿宋_GB2312" w:hAnsi="仿宋_GB2312" w:cs="仿宋_GB2312"/>
                <w:b/>
                <w:color w:val="auto"/>
                <w:sz w:val="21"/>
                <w:szCs w:val="21"/>
                <w:lang w:eastAsia="zh-CN"/>
              </w:rPr>
              <w:t>响应</w:t>
            </w:r>
            <w:r>
              <w:rPr>
                <w:rFonts w:hint="eastAsia" w:ascii="仿宋_GB2312" w:hAnsi="仿宋_GB2312" w:eastAsia="仿宋_GB2312" w:cs="仿宋_GB2312"/>
                <w:b/>
                <w:color w:val="auto"/>
                <w:sz w:val="21"/>
                <w:szCs w:val="21"/>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849" w:type="dxa"/>
            <w:vMerge w:val="restart"/>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项目实施方案分</w:t>
            </w:r>
          </w:p>
        </w:tc>
        <w:tc>
          <w:tcPr>
            <w:tcW w:w="1090" w:type="dxa"/>
            <w:vAlign w:val="center"/>
          </w:tcPr>
          <w:p>
            <w:pPr>
              <w:spacing w:line="360" w:lineRule="exact"/>
              <w:jc w:val="center"/>
              <w:rPr>
                <w:rFonts w:hint="eastAsia" w:ascii="仿宋_GB2312" w:hAnsi="仿宋_GB2312" w:eastAsia="仿宋_GB2312" w:cs="仿宋_GB2312"/>
                <w:b/>
                <w:bCs/>
                <w:color w:val="auto"/>
                <w:sz w:val="21"/>
                <w:szCs w:val="21"/>
              </w:rPr>
            </w:pPr>
          </w:p>
          <w:p>
            <w:pPr>
              <w:widowControl/>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bidi="ar"/>
              </w:rPr>
              <w:t>项目实施方案</w:t>
            </w:r>
          </w:p>
        </w:tc>
        <w:tc>
          <w:tcPr>
            <w:tcW w:w="5859" w:type="dxa"/>
            <w:vAlign w:val="center"/>
          </w:tcPr>
          <w:p>
            <w:pPr>
              <w:spacing w:line="400" w:lineRule="exact"/>
              <w:ind w:firstLine="422" w:firstLineChars="200"/>
              <w:rPr>
                <w:rFonts w:hint="eastAsia" w:ascii="仿宋_GB2312" w:hAnsi="Times New Roman" w:eastAsia="仿宋_GB2312" w:cs="Times New Roman"/>
                <w:color w:val="auto"/>
                <w:sz w:val="21"/>
                <w:szCs w:val="21"/>
              </w:rPr>
            </w:pPr>
            <w:r>
              <w:rPr>
                <w:rFonts w:hint="eastAsia" w:ascii="仿宋_GB2312" w:hAnsi="仿宋_GB2312" w:eastAsia="仿宋_GB2312" w:cs="仿宋_GB2312"/>
                <w:b/>
                <w:bCs/>
                <w:color w:val="auto"/>
                <w:sz w:val="21"/>
                <w:szCs w:val="21"/>
                <w:lang w:bidi="ar"/>
              </w:rPr>
              <w:t>一</w:t>
            </w:r>
            <w:r>
              <w:rPr>
                <w:rFonts w:hint="eastAsia" w:ascii="仿宋_GB2312" w:hAnsi="Times New Roman" w:eastAsia="仿宋_GB2312" w:cs="Times New Roman"/>
                <w:b/>
                <w:bCs/>
                <w:color w:val="auto"/>
                <w:sz w:val="21"/>
                <w:szCs w:val="21"/>
                <w:lang w:bidi="ar"/>
              </w:rPr>
              <w:t>档（</w:t>
            </w:r>
            <w:r>
              <w:rPr>
                <w:rFonts w:hint="eastAsia" w:ascii="仿宋_GB2312" w:hAnsi="Times New Roman" w:cs="Times New Roman"/>
                <w:b/>
                <w:bCs/>
                <w:color w:val="auto"/>
                <w:sz w:val="21"/>
                <w:szCs w:val="21"/>
                <w:lang w:val="en-US" w:eastAsia="zh-CN" w:bidi="ar"/>
              </w:rPr>
              <w:t>9</w:t>
            </w:r>
            <w:r>
              <w:rPr>
                <w:rFonts w:hint="eastAsia" w:ascii="仿宋_GB2312" w:hAnsi="Times New Roman" w:eastAsia="仿宋_GB2312" w:cs="Times New Roman"/>
                <w:b/>
                <w:bCs/>
                <w:color w:val="auto"/>
                <w:sz w:val="21"/>
                <w:szCs w:val="21"/>
                <w:lang w:bidi="ar"/>
              </w:rPr>
              <w:t>分）</w:t>
            </w:r>
            <w:r>
              <w:rPr>
                <w:rFonts w:hint="eastAsia" w:ascii="仿宋_GB2312" w:hAnsi="Times New Roman" w:eastAsia="仿宋_GB2312" w:cs="Times New Roman"/>
                <w:color w:val="auto"/>
                <w:sz w:val="21"/>
                <w:szCs w:val="21"/>
                <w:lang w:bidi="ar"/>
              </w:rPr>
              <w:t>：</w:t>
            </w:r>
            <w:r>
              <w:rPr>
                <w:rFonts w:hint="eastAsia" w:ascii="仿宋_GB2312" w:hAnsi="仿宋_GB2312" w:cs="仿宋_GB2312"/>
                <w:color w:val="auto"/>
                <w:sz w:val="21"/>
                <w:szCs w:val="21"/>
                <w:lang w:eastAsia="zh-CN"/>
              </w:rPr>
              <w:t>供应商</w:t>
            </w:r>
            <w:r>
              <w:rPr>
                <w:rFonts w:hint="eastAsia" w:ascii="仿宋_GB2312" w:hAnsi="Times New Roman" w:eastAsia="仿宋_GB2312" w:cs="Times New Roman"/>
                <w:color w:val="auto"/>
                <w:sz w:val="21"/>
                <w:szCs w:val="21"/>
                <w:lang w:bidi="ar"/>
              </w:rPr>
              <w:t>针对本项目的实施方案进度安排紧凑，项目实施组织结构安排合理，人员及分工职责明确，</w:t>
            </w:r>
            <w:r>
              <w:rPr>
                <w:rFonts w:hint="eastAsia" w:ascii="仿宋_GB2312" w:hAnsi="仿宋_GB2312" w:eastAsia="仿宋_GB2312" w:cs="仿宋_GB2312"/>
                <w:color w:val="auto"/>
                <w:sz w:val="21"/>
                <w:szCs w:val="21"/>
              </w:rPr>
              <w:t>经验丰富</w:t>
            </w:r>
            <w:r>
              <w:rPr>
                <w:rFonts w:hint="eastAsia" w:ascii="仿宋_GB2312" w:hAnsi="仿宋_GB2312" w:eastAsia="仿宋_GB2312" w:cs="仿宋_GB2312"/>
                <w:color w:val="auto"/>
                <w:sz w:val="21"/>
                <w:szCs w:val="21"/>
                <w:lang w:val="en-US" w:eastAsia="zh-CN"/>
              </w:rPr>
              <w:t>且专业</w:t>
            </w:r>
            <w:r>
              <w:rPr>
                <w:rFonts w:hint="eastAsia" w:ascii="仿宋_GB2312" w:hAnsi="仿宋_GB2312" w:eastAsia="仿宋_GB2312" w:cs="仿宋_GB2312"/>
                <w:color w:val="auto"/>
                <w:sz w:val="21"/>
                <w:szCs w:val="21"/>
              </w:rPr>
              <w:t>，技术素质高</w:t>
            </w:r>
            <w:r>
              <w:rPr>
                <w:rFonts w:hint="eastAsia" w:ascii="仿宋_GB2312" w:hAnsi="仿宋_GB2312" w:cs="仿宋_GB2312"/>
                <w:color w:val="auto"/>
                <w:sz w:val="21"/>
                <w:szCs w:val="21"/>
                <w:lang w:eastAsia="zh-CN"/>
              </w:rPr>
              <w:t>，</w:t>
            </w:r>
            <w:r>
              <w:rPr>
                <w:rFonts w:hint="eastAsia" w:ascii="仿宋_GB2312" w:hAnsi="Times New Roman" w:eastAsia="仿宋_GB2312" w:cs="Times New Roman"/>
                <w:color w:val="auto"/>
                <w:sz w:val="21"/>
                <w:szCs w:val="21"/>
                <w:lang w:bidi="ar"/>
              </w:rPr>
              <w:t xml:space="preserve">有关键节点时间安排，货物运输符合防震、防破损等要求，有合理的安装操作流程和施工规范，有详细的设备调试方案，实施团队人员数量充足，分工明确，经验丰富，技术素质高，符合本项目需求特点，针对性强； </w:t>
            </w:r>
          </w:p>
          <w:p>
            <w:pPr>
              <w:spacing w:line="400" w:lineRule="exact"/>
              <w:ind w:firstLine="422" w:firstLineChars="200"/>
              <w:rPr>
                <w:rFonts w:hint="eastAsia" w:ascii="仿宋_GB2312" w:hAnsi="Times New Roman" w:eastAsia="仿宋_GB2312" w:cs="Times New Roman"/>
                <w:color w:val="auto"/>
                <w:sz w:val="21"/>
                <w:szCs w:val="21"/>
              </w:rPr>
            </w:pPr>
            <w:r>
              <w:rPr>
                <w:rFonts w:hint="eastAsia" w:ascii="仿宋_GB2312" w:hAnsi="Times New Roman" w:eastAsia="仿宋_GB2312" w:cs="Times New Roman"/>
                <w:b/>
                <w:bCs/>
                <w:color w:val="auto"/>
                <w:sz w:val="21"/>
                <w:szCs w:val="21"/>
                <w:lang w:bidi="ar"/>
              </w:rPr>
              <w:t>二档（6分）</w:t>
            </w:r>
            <w:r>
              <w:rPr>
                <w:rFonts w:hint="eastAsia" w:ascii="仿宋_GB2312" w:hAnsi="Times New Roman" w:eastAsia="仿宋_GB2312" w:cs="Times New Roman"/>
                <w:color w:val="auto"/>
                <w:sz w:val="21"/>
                <w:szCs w:val="21"/>
                <w:lang w:bidi="ar"/>
              </w:rPr>
              <w:t xml:space="preserve">：实施方案进度安排合理，人员及分工职责明确，有关键节点时间安排及有相关保障措施，装操作流程和施工规范较详细，可行性较强； </w:t>
            </w:r>
          </w:p>
          <w:p>
            <w:pPr>
              <w:spacing w:line="400" w:lineRule="exact"/>
              <w:ind w:firstLine="422" w:firstLineChars="200"/>
              <w:rPr>
                <w:rFonts w:hint="eastAsia" w:ascii="仿宋_GB2312" w:hAnsi="Times New Roman" w:eastAsia="仿宋_GB2312" w:cs="Times New Roman"/>
                <w:color w:val="auto"/>
                <w:sz w:val="21"/>
                <w:szCs w:val="21"/>
              </w:rPr>
            </w:pPr>
            <w:r>
              <w:rPr>
                <w:rFonts w:hint="eastAsia" w:ascii="仿宋_GB2312" w:hAnsi="Times New Roman" w:eastAsia="仿宋_GB2312" w:cs="Times New Roman"/>
                <w:b/>
                <w:bCs/>
                <w:color w:val="auto"/>
                <w:sz w:val="21"/>
                <w:szCs w:val="21"/>
                <w:lang w:bidi="ar"/>
              </w:rPr>
              <w:t>三档（3分）</w:t>
            </w:r>
            <w:r>
              <w:rPr>
                <w:rFonts w:hint="eastAsia" w:ascii="仿宋_GB2312" w:hAnsi="Times New Roman" w:eastAsia="仿宋_GB2312" w:cs="Times New Roman"/>
                <w:color w:val="auto"/>
                <w:sz w:val="21"/>
                <w:szCs w:val="21"/>
                <w:lang w:bidi="ar"/>
              </w:rPr>
              <w:t xml:space="preserve">：实施方案进度安排、人员及分工、关键节点时间安排满足采购需求。 </w:t>
            </w:r>
          </w:p>
          <w:p>
            <w:pPr>
              <w:widowControl/>
              <w:spacing w:line="400" w:lineRule="exact"/>
              <w:ind w:firstLine="422" w:firstLineChars="200"/>
              <w:rPr>
                <w:rFonts w:hint="eastAsia" w:ascii="仿宋_GB2312" w:hAnsi="Times New Roman" w:eastAsia="仿宋_GB2312" w:cs="Times New Roman"/>
                <w:b/>
                <w:bCs/>
                <w:color w:val="auto"/>
                <w:sz w:val="21"/>
                <w:szCs w:val="21"/>
              </w:rPr>
            </w:pPr>
            <w:r>
              <w:rPr>
                <w:rFonts w:hint="eastAsia" w:ascii="仿宋_GB2312" w:hAnsi="Times New Roman" w:eastAsia="仿宋_GB2312" w:cs="Times New Roman"/>
                <w:b/>
                <w:bCs/>
                <w:color w:val="auto"/>
                <w:sz w:val="21"/>
                <w:szCs w:val="21"/>
                <w:lang w:bidi="ar"/>
              </w:rPr>
              <w:t>注：1.该方案可以包括（1）货物包装、发运及运输、配送方案；（2）安装方案；（3）设备调试方案；（4）提供本项目的针对性方案；</w:t>
            </w:r>
          </w:p>
          <w:p>
            <w:pPr>
              <w:spacing w:line="400" w:lineRule="exact"/>
              <w:ind w:firstLine="422" w:firstLineChars="200"/>
              <w:rPr>
                <w:rFonts w:hint="eastAsia" w:ascii="仿宋_GB2312" w:hAnsi="仿宋_GB2312" w:eastAsia="仿宋_GB2312" w:cs="仿宋_GB2312"/>
                <w:color w:val="auto"/>
                <w:sz w:val="21"/>
                <w:szCs w:val="21"/>
              </w:rPr>
            </w:pPr>
            <w:r>
              <w:rPr>
                <w:rFonts w:hint="eastAsia" w:ascii="仿宋_GB2312" w:hAnsi="Times New Roman" w:eastAsia="仿宋_GB2312" w:cs="Times New Roman"/>
                <w:b/>
                <w:bCs/>
                <w:color w:val="auto"/>
                <w:sz w:val="21"/>
                <w:szCs w:val="21"/>
                <w:lang w:bidi="ar"/>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cs="仿宋_GB2312"/>
                <w:b/>
                <w:bCs/>
                <w:color w:val="auto"/>
                <w:sz w:val="21"/>
                <w:szCs w:val="21"/>
                <w:lang w:val="en-US" w:eastAsia="zh-CN"/>
              </w:rPr>
              <w:t>9</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 w:val="21"/>
                <w:szCs w:val="21"/>
              </w:rPr>
            </w:pPr>
          </w:p>
        </w:tc>
        <w:tc>
          <w:tcPr>
            <w:tcW w:w="1090" w:type="dxa"/>
            <w:vAlign w:val="center"/>
          </w:tcPr>
          <w:p>
            <w:pPr>
              <w:widowControl/>
              <w:spacing w:line="360" w:lineRule="exact"/>
              <w:jc w:val="center"/>
              <w:rPr>
                <w:rFonts w:hint="eastAsia" w:ascii="Times New Roman" w:hAnsi="Times New Roman" w:eastAsia="仿宋_GB2312" w:cstheme="minorBidi"/>
                <w:color w:val="auto"/>
                <w:kern w:val="2"/>
                <w:sz w:val="21"/>
                <w:szCs w:val="21"/>
                <w:lang w:val="en-US" w:eastAsia="zh-CN" w:bidi="ar-SA"/>
              </w:rPr>
            </w:pPr>
            <w:r>
              <w:rPr>
                <w:rFonts w:hint="eastAsia" w:ascii="仿宋_GB2312" w:hAnsi="仿宋_GB2312" w:eastAsia="仿宋_GB2312" w:cs="仿宋_GB2312"/>
                <w:b/>
                <w:bCs/>
                <w:color w:val="auto"/>
                <w:sz w:val="21"/>
                <w:szCs w:val="21"/>
              </w:rPr>
              <w:t>设备安装调试方案</w:t>
            </w:r>
          </w:p>
        </w:tc>
        <w:tc>
          <w:tcPr>
            <w:tcW w:w="5859" w:type="dxa"/>
            <w:vAlign w:val="center"/>
          </w:tcPr>
          <w:p>
            <w:pPr>
              <w:pStyle w:val="33"/>
              <w:spacing w:line="440" w:lineRule="exact"/>
              <w:ind w:firstLine="422" w:firstLineChars="200"/>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default" w:ascii="仿宋_GB2312" w:hAnsi="仿宋_GB2312" w:eastAsia="仿宋_GB2312" w:cs="仿宋_GB2312"/>
                <w:b/>
                <w:bCs/>
                <w:color w:val="auto"/>
                <w:sz w:val="21"/>
                <w:szCs w:val="21"/>
                <w:lang w:val="en" w:eastAsia="zh-CN"/>
              </w:rPr>
              <w:t>6</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设备安装调试步骤和要点描述详细全面，切合实际，科学合理，具有针对性，同时可行性强</w:t>
            </w:r>
            <w:r>
              <w:rPr>
                <w:rFonts w:hint="eastAsia" w:ascii="仿宋_GB2312" w:hAnsi="仿宋_GB2312" w:eastAsia="仿宋_GB2312" w:cs="仿宋_GB2312"/>
                <w:color w:val="auto"/>
                <w:sz w:val="21"/>
                <w:szCs w:val="21"/>
                <w:highlight w:val="none"/>
              </w:rPr>
              <w:t>，并根据标书内容提供合理的技术深化方案，整体方案对采购人有实际</w:t>
            </w:r>
            <w:r>
              <w:rPr>
                <w:rFonts w:hint="eastAsia" w:ascii="仿宋_GB2312" w:hAnsi="仿宋_GB2312" w:eastAsia="仿宋_GB2312" w:cs="仿宋_GB2312"/>
                <w:color w:val="auto"/>
                <w:sz w:val="21"/>
                <w:szCs w:val="21"/>
              </w:rPr>
              <w:t>性帮助，优于二档；</w:t>
            </w:r>
          </w:p>
          <w:p>
            <w:pPr>
              <w:pStyle w:val="33"/>
              <w:widowControl/>
              <w:spacing w:line="360" w:lineRule="exact"/>
              <w:ind w:firstLine="422" w:firstLineChars="200"/>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设备安装调试步骤和要点描述较详细可行，能较好满足采购需求，整体方案具有一定的合理性、针对性、可行性，优于三档；</w:t>
            </w:r>
          </w:p>
          <w:p>
            <w:pPr>
              <w:widowControl/>
              <w:spacing w:line="360" w:lineRule="exact"/>
              <w:ind w:firstLine="422" w:firstLineChars="200"/>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cs="仿宋_GB2312"/>
                <w:b/>
                <w:bCs/>
                <w:color w:val="auto"/>
                <w:sz w:val="21"/>
                <w:szCs w:val="21"/>
                <w:lang w:val="en-US" w:eastAsia="zh-CN"/>
              </w:rPr>
              <w:t>1</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设备安装调试方案内容简单，基本满足采购需求，科学合理性较弱，可行性一般。</w:t>
            </w:r>
          </w:p>
          <w:p>
            <w:pPr>
              <w:widowControl/>
              <w:spacing w:line="360" w:lineRule="exact"/>
              <w:ind w:firstLine="422" w:firstLineChars="200"/>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color w:val="auto"/>
                <w:sz w:val="21"/>
                <w:szCs w:val="21"/>
              </w:rPr>
              <w:t>注：</w:t>
            </w:r>
            <w:r>
              <w:rPr>
                <w:rFonts w:ascii="仿宋_GB2312" w:hAnsi="仿宋_GB2312" w:eastAsia="仿宋_GB2312" w:cs="仿宋_GB2312"/>
                <w:b/>
                <w:bCs/>
                <w:color w:val="auto"/>
                <w:sz w:val="21"/>
                <w:szCs w:val="21"/>
              </w:rPr>
              <w:t>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 w:val="21"/>
                <w:szCs w:val="21"/>
                <w:lang w:val="en" w:eastAsia="zh-CN"/>
              </w:rPr>
            </w:pPr>
            <w:r>
              <w:rPr>
                <w:rFonts w:hint="default" w:ascii="仿宋_GB2312" w:hAnsi="仿宋_GB2312" w:cs="仿宋_GB2312"/>
                <w:b/>
                <w:bCs/>
                <w:color w:val="auto"/>
                <w:sz w:val="21"/>
                <w:szCs w:val="21"/>
                <w:lang w:val="en" w:eastAsia="zh-CN"/>
              </w:rPr>
              <w:t>6</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 w:val="21"/>
                <w:szCs w:val="21"/>
              </w:rPr>
            </w:pPr>
          </w:p>
        </w:tc>
        <w:tc>
          <w:tcPr>
            <w:tcW w:w="1090" w:type="dxa"/>
            <w:vAlign w:val="center"/>
          </w:tcPr>
          <w:p>
            <w:pPr>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bidi="ar"/>
              </w:rPr>
              <w:t>技术培训方案</w:t>
            </w:r>
          </w:p>
        </w:tc>
        <w:tc>
          <w:tcPr>
            <w:tcW w:w="5859" w:type="dxa"/>
            <w:vAlign w:val="center"/>
          </w:tcPr>
          <w:p>
            <w:pPr>
              <w:spacing w:line="400" w:lineRule="exact"/>
              <w:ind w:firstLine="422" w:firstLineChars="200"/>
              <w:rPr>
                <w:rFonts w:hint="eastAsia" w:ascii="仿宋_GB2312" w:hAnsi="Times New Roman" w:eastAsia="仿宋_GB2312" w:cs="Times New Roman"/>
                <w:color w:val="auto"/>
                <w:sz w:val="21"/>
                <w:szCs w:val="21"/>
                <w:lang w:bidi="ar"/>
              </w:rPr>
            </w:pPr>
            <w:r>
              <w:rPr>
                <w:rFonts w:hint="eastAsia" w:ascii="仿宋_GB2312" w:hAnsi="Times New Roman" w:eastAsia="仿宋_GB2312" w:cs="Times New Roman"/>
                <w:b/>
                <w:bCs/>
                <w:color w:val="auto"/>
                <w:sz w:val="21"/>
                <w:szCs w:val="21"/>
                <w:lang w:bidi="ar"/>
              </w:rPr>
              <w:t>一档（</w:t>
            </w:r>
            <w:r>
              <w:rPr>
                <w:rFonts w:hint="eastAsia" w:ascii="仿宋_GB2312" w:hAnsi="Times New Roman" w:cs="Times New Roman"/>
                <w:b/>
                <w:bCs/>
                <w:color w:val="auto"/>
                <w:sz w:val="21"/>
                <w:szCs w:val="21"/>
                <w:lang w:val="en-US" w:eastAsia="zh-CN" w:bidi="ar"/>
              </w:rPr>
              <w:t>5</w:t>
            </w:r>
            <w:r>
              <w:rPr>
                <w:rFonts w:hint="eastAsia" w:ascii="仿宋_GB2312" w:hAnsi="Times New Roman" w:eastAsia="仿宋_GB2312" w:cs="Times New Roman"/>
                <w:b/>
                <w:bCs/>
                <w:color w:val="auto"/>
                <w:sz w:val="21"/>
                <w:szCs w:val="21"/>
                <w:lang w:bidi="ar"/>
              </w:rPr>
              <w:t>分）</w:t>
            </w:r>
            <w:r>
              <w:rPr>
                <w:rFonts w:hint="eastAsia" w:ascii="仿宋_GB2312" w:hAnsi="Times New Roman" w:eastAsia="仿宋_GB2312" w:cs="Times New Roman"/>
                <w:color w:val="auto"/>
                <w:sz w:val="21"/>
                <w:szCs w:val="21"/>
                <w:lang w:bidi="ar"/>
              </w:rPr>
              <w:t>：技术培训的服务内容和措施完善，</w:t>
            </w:r>
            <w:r>
              <w:rPr>
                <w:rFonts w:hint="eastAsia" w:ascii="仿宋_GB2312" w:eastAsia="仿宋_GB2312" w:cs="Times New Roman"/>
                <w:color w:val="auto"/>
                <w:sz w:val="21"/>
                <w:szCs w:val="21"/>
                <w:lang w:val="en-US" w:eastAsia="zh-CN" w:bidi="ar"/>
              </w:rPr>
              <w:t>培训讲师职业素养、业务技能强；</w:t>
            </w:r>
            <w:r>
              <w:rPr>
                <w:rFonts w:hint="eastAsia" w:ascii="仿宋_GB2312" w:hAnsi="Times New Roman" w:eastAsia="仿宋_GB2312" w:cs="Times New Roman"/>
                <w:color w:val="auto"/>
                <w:sz w:val="21"/>
                <w:szCs w:val="21"/>
                <w:lang w:bidi="ar"/>
              </w:rPr>
              <w:t>培训方式兼顾远程、现场等方式，培训内容针对性强，培训课时充足</w:t>
            </w:r>
            <w:r>
              <w:rPr>
                <w:rFonts w:hint="eastAsia" w:ascii="仿宋_GB2312" w:eastAsia="仿宋_GB2312" w:cs="Times New Roman"/>
                <w:color w:val="auto"/>
                <w:sz w:val="21"/>
                <w:szCs w:val="21"/>
                <w:lang w:eastAsia="zh-CN" w:bidi="ar"/>
              </w:rPr>
              <w:t>，</w:t>
            </w:r>
            <w:r>
              <w:rPr>
                <w:rFonts w:hint="eastAsia" w:ascii="仿宋_GB2312" w:eastAsia="仿宋_GB2312" w:cs="Times New Roman"/>
                <w:color w:val="auto"/>
                <w:sz w:val="21"/>
                <w:szCs w:val="21"/>
                <w:lang w:val="en-US" w:eastAsia="zh-CN" w:bidi="ar"/>
              </w:rPr>
              <w:t>方案详细</w:t>
            </w:r>
            <w:r>
              <w:rPr>
                <w:rFonts w:hint="eastAsia" w:ascii="仿宋_GB2312" w:hAnsi="Times New Roman" w:eastAsia="仿宋_GB2312" w:cs="Times New Roman"/>
                <w:color w:val="auto"/>
                <w:sz w:val="21"/>
                <w:szCs w:val="21"/>
                <w:lang w:bidi="ar"/>
              </w:rPr>
              <w:t xml:space="preserve">； </w:t>
            </w:r>
          </w:p>
          <w:p>
            <w:pPr>
              <w:spacing w:line="400" w:lineRule="exact"/>
              <w:ind w:firstLine="422" w:firstLineChars="200"/>
              <w:rPr>
                <w:rFonts w:hint="eastAsia" w:ascii="仿宋_GB2312" w:hAnsi="Times New Roman" w:eastAsia="仿宋_GB2312" w:cs="Times New Roman"/>
                <w:color w:val="auto"/>
                <w:sz w:val="21"/>
                <w:szCs w:val="21"/>
                <w:lang w:bidi="ar"/>
              </w:rPr>
            </w:pPr>
            <w:r>
              <w:rPr>
                <w:rFonts w:hint="eastAsia" w:ascii="仿宋_GB2312" w:hAnsi="Times New Roman" w:eastAsia="仿宋_GB2312" w:cs="Times New Roman"/>
                <w:b/>
                <w:bCs/>
                <w:color w:val="auto"/>
                <w:sz w:val="21"/>
                <w:szCs w:val="21"/>
                <w:lang w:bidi="ar"/>
              </w:rPr>
              <w:t>二档（</w:t>
            </w:r>
            <w:r>
              <w:rPr>
                <w:rFonts w:hint="eastAsia" w:ascii="仿宋_GB2312" w:hAnsi="Times New Roman" w:cs="Times New Roman"/>
                <w:b/>
                <w:bCs/>
                <w:color w:val="auto"/>
                <w:sz w:val="21"/>
                <w:szCs w:val="21"/>
                <w:lang w:val="en-US" w:eastAsia="zh-CN" w:bidi="ar"/>
              </w:rPr>
              <w:t>3</w:t>
            </w:r>
            <w:r>
              <w:rPr>
                <w:rFonts w:hint="eastAsia" w:ascii="仿宋_GB2312" w:hAnsi="Times New Roman" w:eastAsia="仿宋_GB2312" w:cs="Times New Roman"/>
                <w:b/>
                <w:bCs/>
                <w:color w:val="auto"/>
                <w:sz w:val="21"/>
                <w:szCs w:val="21"/>
                <w:lang w:bidi="ar"/>
              </w:rPr>
              <w:t>分）</w:t>
            </w:r>
            <w:r>
              <w:rPr>
                <w:rFonts w:hint="eastAsia" w:ascii="仿宋_GB2312" w:hAnsi="Times New Roman" w:eastAsia="仿宋_GB2312" w:cs="Times New Roman"/>
                <w:color w:val="auto"/>
                <w:sz w:val="21"/>
                <w:szCs w:val="21"/>
                <w:lang w:bidi="ar"/>
              </w:rPr>
              <w:t>：培训方式及培训内容较好服务本项目，</w:t>
            </w:r>
            <w:r>
              <w:rPr>
                <w:rFonts w:hint="eastAsia" w:ascii="仿宋_GB2312" w:eastAsia="仿宋_GB2312" w:cs="Times New Roman"/>
                <w:color w:val="auto"/>
                <w:sz w:val="21"/>
                <w:szCs w:val="21"/>
                <w:lang w:val="en-US" w:eastAsia="zh-CN" w:bidi="ar"/>
              </w:rPr>
              <w:t>培训方式单一，</w:t>
            </w:r>
            <w:r>
              <w:rPr>
                <w:rFonts w:hint="eastAsia" w:ascii="仿宋_GB2312" w:hAnsi="Times New Roman" w:eastAsia="仿宋_GB2312" w:cs="Times New Roman"/>
                <w:color w:val="auto"/>
                <w:sz w:val="21"/>
                <w:szCs w:val="21"/>
                <w:lang w:bidi="ar"/>
              </w:rPr>
              <w:t>培训课时较充足；</w:t>
            </w:r>
          </w:p>
          <w:p>
            <w:pPr>
              <w:spacing w:line="400" w:lineRule="exact"/>
              <w:ind w:firstLine="422" w:firstLineChars="200"/>
              <w:rPr>
                <w:rFonts w:hint="eastAsia" w:ascii="仿宋_GB2312" w:hAnsi="Times New Roman" w:eastAsia="仿宋_GB2312" w:cs="Times New Roman"/>
                <w:color w:val="auto"/>
                <w:sz w:val="21"/>
                <w:szCs w:val="21"/>
                <w:lang w:bidi="ar"/>
              </w:rPr>
            </w:pPr>
            <w:r>
              <w:rPr>
                <w:rFonts w:hint="eastAsia" w:ascii="仿宋_GB2312" w:hAnsi="Times New Roman" w:eastAsia="仿宋_GB2312" w:cs="Times New Roman"/>
                <w:b/>
                <w:bCs/>
                <w:color w:val="auto"/>
                <w:sz w:val="21"/>
                <w:szCs w:val="21"/>
                <w:lang w:bidi="ar"/>
              </w:rPr>
              <w:t>二档（</w:t>
            </w:r>
            <w:r>
              <w:rPr>
                <w:rFonts w:hint="eastAsia" w:ascii="仿宋_GB2312" w:hAnsi="Times New Roman" w:cs="Times New Roman"/>
                <w:b/>
                <w:bCs/>
                <w:color w:val="auto"/>
                <w:sz w:val="21"/>
                <w:szCs w:val="21"/>
                <w:lang w:val="en-US" w:eastAsia="zh-CN" w:bidi="ar"/>
              </w:rPr>
              <w:t>1</w:t>
            </w:r>
            <w:r>
              <w:rPr>
                <w:rFonts w:hint="eastAsia" w:ascii="仿宋_GB2312" w:hAnsi="Times New Roman" w:eastAsia="仿宋_GB2312" w:cs="Times New Roman"/>
                <w:b/>
                <w:bCs/>
                <w:color w:val="auto"/>
                <w:sz w:val="21"/>
                <w:szCs w:val="21"/>
                <w:lang w:bidi="ar"/>
              </w:rPr>
              <w:t>分）</w:t>
            </w:r>
            <w:r>
              <w:rPr>
                <w:rFonts w:hint="eastAsia" w:ascii="仿宋_GB2312" w:hAnsi="Times New Roman" w:eastAsia="仿宋_GB2312" w:cs="Times New Roman"/>
                <w:color w:val="auto"/>
                <w:sz w:val="21"/>
                <w:szCs w:val="21"/>
                <w:lang w:bidi="ar"/>
              </w:rPr>
              <w:t>：培训方案满足采购需求，内容简单。</w:t>
            </w:r>
          </w:p>
          <w:p>
            <w:pPr>
              <w:spacing w:line="400" w:lineRule="exact"/>
              <w:ind w:firstLine="422" w:firstLineChars="200"/>
              <w:rPr>
                <w:rFonts w:hint="eastAsia" w:ascii="仿宋_GB2312" w:hAnsi="仿宋_GB2312" w:eastAsia="仿宋_GB2312" w:cs="仿宋_GB2312"/>
                <w:b/>
                <w:bCs/>
                <w:color w:val="auto"/>
                <w:kern w:val="0"/>
                <w:sz w:val="21"/>
                <w:szCs w:val="21"/>
              </w:rPr>
            </w:pPr>
            <w:r>
              <w:rPr>
                <w:rFonts w:hint="eastAsia" w:ascii="仿宋_GB2312" w:hAnsi="Times New Roman" w:eastAsia="仿宋_GB2312" w:cs="Times New Roman"/>
                <w:b/>
                <w:bCs/>
                <w:color w:val="auto"/>
                <w:sz w:val="21"/>
                <w:szCs w:val="21"/>
                <w:lang w:bidi="ar"/>
              </w:rPr>
              <w:t>注：未提供方案或提供的内容与本项目无关的得0分。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lang w:eastAsia="zh-CN"/>
              </w:rPr>
            </w:pPr>
            <w:r>
              <w:rPr>
                <w:rFonts w:hint="eastAsia" w:ascii="仿宋_GB2312" w:hAnsi="仿宋_GB2312" w:cs="仿宋_GB2312"/>
                <w:b/>
                <w:bCs/>
                <w:color w:val="auto"/>
                <w:sz w:val="21"/>
                <w:szCs w:val="21"/>
                <w:lang w:val="en-US" w:eastAsia="zh-CN"/>
              </w:rPr>
              <w:t>5</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9" w:type="dxa"/>
            <w:vAlign w:val="center"/>
          </w:tcPr>
          <w:p>
            <w:pPr>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售后服务方案分</w:t>
            </w:r>
          </w:p>
        </w:tc>
        <w:tc>
          <w:tcPr>
            <w:tcW w:w="1090" w:type="dxa"/>
            <w:vAlign w:val="center"/>
          </w:tcPr>
          <w:p>
            <w:pPr>
              <w:widowControl/>
              <w:spacing w:line="36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售后服务方案</w:t>
            </w:r>
          </w:p>
        </w:tc>
        <w:tc>
          <w:tcPr>
            <w:tcW w:w="5859" w:type="dxa"/>
            <w:vAlign w:val="center"/>
          </w:tcPr>
          <w:p>
            <w:pPr>
              <w:pStyle w:val="30"/>
              <w:spacing w:line="43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一档（10分）</w:t>
            </w:r>
            <w:r>
              <w:rPr>
                <w:rFonts w:hint="eastAsia" w:ascii="仿宋_GB2312" w:hAnsi="仿宋_GB2312" w:eastAsia="仿宋_GB2312" w:cs="仿宋_GB2312"/>
                <w:color w:val="auto"/>
                <w:sz w:val="21"/>
                <w:szCs w:val="21"/>
              </w:rPr>
              <w:t>：售后服务方案及承诺详细、全面，各项内容编制思路合理、完整周全，安排有专职售后服务人员且有详细的工作标准及人员服务流程，职责明确，故障出现解决方案、免费保修期外维修方案详细全面、可操作性强，故障响应时间、到达现场维护时间优于采购要求，有质保期内的免费保修等条款；有优化服务方案，并能提供其他售后服务（如备品零部件的优惠、质保期后的服务优惠等）或其他实质性的优惠措施；定期回访，有完善预警、备件管理以及售后服务跟踪式服务措施，有详细完整的工作标准及人员服务流程；</w:t>
            </w:r>
          </w:p>
          <w:p>
            <w:pPr>
              <w:pStyle w:val="30"/>
              <w:spacing w:line="43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二档（6分）</w:t>
            </w:r>
            <w:r>
              <w:rPr>
                <w:rFonts w:hint="eastAsia" w:ascii="仿宋_GB2312" w:hAnsi="仿宋_GB2312" w:eastAsia="仿宋_GB2312" w:cs="仿宋_GB2312"/>
                <w:color w:val="auto"/>
                <w:sz w:val="21"/>
                <w:szCs w:val="21"/>
              </w:rPr>
              <w:t>：供应商的售后服务方案能较好满足采购要求，售后服务保障或维修响应时间等售后服务方案略优于采购需求，符合实际且有较强的针对性；有定期回访制度，有主要零配件储备供应清单，常用的、容易损坏的备品备件及易损件配备的齐全及价格合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 xml:space="preserve">有保修期外维修方案； </w:t>
            </w:r>
          </w:p>
          <w:p>
            <w:pPr>
              <w:pStyle w:val="30"/>
              <w:spacing w:line="430" w:lineRule="exact"/>
              <w:ind w:firstLine="422"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三档（3分）</w:t>
            </w:r>
            <w:r>
              <w:rPr>
                <w:rFonts w:hint="eastAsia" w:ascii="仿宋_GB2312" w:hAnsi="仿宋_GB2312" w:eastAsia="仿宋_GB2312" w:cs="仿宋_GB2312"/>
                <w:color w:val="auto"/>
                <w:sz w:val="21"/>
                <w:szCs w:val="21"/>
              </w:rPr>
              <w:t>：供应商的售后服务方基本满足采购要求，售后服务保障或维修响应时间方案针对性、可行性一般。</w:t>
            </w:r>
          </w:p>
          <w:p>
            <w:pPr>
              <w:pStyle w:val="30"/>
              <w:spacing w:line="430" w:lineRule="exact"/>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w:t>
            </w:r>
            <w:r>
              <w:rPr>
                <w:rFonts w:ascii="仿宋_GB2312" w:hAnsi="仿宋_GB2312" w:eastAsia="仿宋_GB2312" w:cs="仿宋_GB2312"/>
                <w:b/>
                <w:bCs/>
                <w:color w:val="auto"/>
                <w:sz w:val="21"/>
                <w:szCs w:val="21"/>
              </w:rPr>
              <w:t>1.该方案内容可以包括：（</w:t>
            </w:r>
            <w:r>
              <w:rPr>
                <w:rFonts w:hint="eastAsia" w:ascii="仿宋_GB2312" w:hAnsi="仿宋_GB2312" w:eastAsia="仿宋_GB2312" w:cs="仿宋_GB2312"/>
                <w:b/>
                <w:bCs/>
                <w:color w:val="auto"/>
                <w:sz w:val="21"/>
                <w:szCs w:val="21"/>
                <w:lang w:val="en-US" w:eastAsia="zh-CN"/>
              </w:rPr>
              <w:t>1</w:t>
            </w:r>
            <w:r>
              <w:rPr>
                <w:rFonts w:ascii="仿宋_GB2312" w:hAnsi="仿宋_GB2312" w:eastAsia="仿宋_GB2312" w:cs="仿宋_GB2312"/>
                <w:b/>
                <w:bCs/>
                <w:color w:val="auto"/>
                <w:sz w:val="21"/>
                <w:szCs w:val="21"/>
              </w:rPr>
              <w:t>）定期回访维护方案；（</w:t>
            </w:r>
            <w:r>
              <w:rPr>
                <w:rFonts w:hint="eastAsia" w:ascii="仿宋_GB2312" w:hAnsi="仿宋_GB2312" w:eastAsia="仿宋_GB2312" w:cs="仿宋_GB2312"/>
                <w:b/>
                <w:bCs/>
                <w:color w:val="auto"/>
                <w:sz w:val="21"/>
                <w:szCs w:val="21"/>
                <w:lang w:val="en-US" w:eastAsia="zh-CN"/>
              </w:rPr>
              <w:t>2</w:t>
            </w:r>
            <w:r>
              <w:rPr>
                <w:rFonts w:ascii="仿宋_GB2312" w:hAnsi="仿宋_GB2312" w:eastAsia="仿宋_GB2312" w:cs="仿宋_GB2312"/>
                <w:b/>
                <w:bCs/>
                <w:color w:val="auto"/>
                <w:sz w:val="21"/>
                <w:szCs w:val="21"/>
              </w:rPr>
              <w:t>）售后服务技术支持（包括售后服务机构、技术人员等）；（</w:t>
            </w:r>
            <w:r>
              <w:rPr>
                <w:rFonts w:hint="eastAsia" w:ascii="仿宋_GB2312" w:hAnsi="仿宋_GB2312" w:eastAsia="仿宋_GB2312" w:cs="仿宋_GB2312"/>
                <w:b/>
                <w:bCs/>
                <w:color w:val="auto"/>
                <w:sz w:val="21"/>
                <w:szCs w:val="21"/>
                <w:lang w:val="en-US" w:eastAsia="zh-CN"/>
              </w:rPr>
              <w:t>3</w:t>
            </w:r>
            <w:r>
              <w:rPr>
                <w:rFonts w:ascii="仿宋_GB2312" w:hAnsi="仿宋_GB2312" w:eastAsia="仿宋_GB2312" w:cs="仿宋_GB2312"/>
                <w:b/>
                <w:bCs/>
                <w:color w:val="auto"/>
                <w:sz w:val="21"/>
                <w:szCs w:val="21"/>
              </w:rPr>
              <w:t>）维修应急预案；（</w:t>
            </w:r>
            <w:r>
              <w:rPr>
                <w:rFonts w:hint="eastAsia" w:ascii="仿宋_GB2312" w:hAnsi="仿宋_GB2312" w:eastAsia="仿宋_GB2312" w:cs="仿宋_GB2312"/>
                <w:b/>
                <w:bCs/>
                <w:color w:val="auto"/>
                <w:sz w:val="21"/>
                <w:szCs w:val="21"/>
                <w:lang w:val="en-US" w:eastAsia="zh-CN"/>
              </w:rPr>
              <w:t>4</w:t>
            </w:r>
            <w:r>
              <w:rPr>
                <w:rFonts w:ascii="仿宋_GB2312" w:hAnsi="仿宋_GB2312" w:eastAsia="仿宋_GB2312" w:cs="仿宋_GB2312"/>
                <w:b/>
                <w:bCs/>
                <w:color w:val="auto"/>
                <w:sz w:val="21"/>
                <w:szCs w:val="21"/>
              </w:rPr>
              <w:t>）零配件储备供应；（</w:t>
            </w:r>
            <w:r>
              <w:rPr>
                <w:rFonts w:hint="eastAsia" w:ascii="仿宋_GB2312" w:hAnsi="仿宋_GB2312" w:eastAsia="仿宋_GB2312" w:cs="仿宋_GB2312"/>
                <w:b/>
                <w:bCs/>
                <w:color w:val="auto"/>
                <w:sz w:val="21"/>
                <w:szCs w:val="21"/>
                <w:lang w:val="en-US" w:eastAsia="zh-CN"/>
              </w:rPr>
              <w:t>5</w:t>
            </w:r>
            <w:r>
              <w:rPr>
                <w:rFonts w:ascii="仿宋_GB2312" w:hAnsi="仿宋_GB2312" w:eastAsia="仿宋_GB2312" w:cs="仿宋_GB2312"/>
                <w:b/>
                <w:bCs/>
                <w:color w:val="auto"/>
                <w:sz w:val="21"/>
                <w:szCs w:val="21"/>
              </w:rPr>
              <w:t>）保修期外维修方案。</w:t>
            </w:r>
          </w:p>
          <w:p>
            <w:pPr>
              <w:pStyle w:val="28"/>
              <w:spacing w:line="360" w:lineRule="exact"/>
              <w:ind w:firstLine="422" w:firstLineChars="200"/>
              <w:rPr>
                <w:rFonts w:hint="eastAsia" w:ascii="仿宋_GB2312" w:hAnsi="仿宋_GB2312" w:eastAsia="仿宋_GB2312" w:cs="仿宋_GB2312"/>
                <w:color w:val="auto"/>
                <w:sz w:val="21"/>
                <w:szCs w:val="21"/>
              </w:rPr>
            </w:pPr>
            <w:r>
              <w:rPr>
                <w:rFonts w:ascii="仿宋_GB2312" w:hAnsi="仿宋_GB2312" w:eastAsia="仿宋_GB2312" w:cs="仿宋_GB2312"/>
                <w:b/>
                <w:bCs/>
                <w:color w:val="auto"/>
                <w:sz w:val="21"/>
                <w:szCs w:val="21"/>
              </w:rPr>
              <w:t>2.未提供方案或提供的内容与本项目无关的得0分。</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rPr>
            </w:pPr>
            <w:r>
              <w:rPr>
                <w:rFonts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rPr>
              <w:t>0</w:t>
            </w:r>
          </w:p>
        </w:tc>
        <w:tc>
          <w:tcPr>
            <w:tcW w:w="1550" w:type="dxa"/>
            <w:vAlign w:val="center"/>
          </w:tcPr>
          <w:p>
            <w:pPr>
              <w:spacing w:line="36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28"/>
              <w:spacing w:line="400" w:lineRule="exact"/>
              <w:ind w:firstLine="422" w:firstLineChars="20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 w:val="21"/>
                <w:szCs w:val="21"/>
                <w:lang w:val="en" w:eastAsia="zh-CN"/>
              </w:rPr>
            </w:pPr>
            <w:r>
              <w:rPr>
                <w:rFonts w:hint="default" w:ascii="仿宋_GB2312" w:hAnsi="仿宋_GB2312" w:cs="仿宋_GB2312"/>
                <w:b/>
                <w:bCs/>
                <w:color w:val="auto"/>
                <w:sz w:val="21"/>
                <w:szCs w:val="21"/>
                <w:lang w:val="en" w:eastAsia="zh-CN"/>
              </w:rPr>
              <w:t>30</w:t>
            </w:r>
          </w:p>
        </w:tc>
        <w:tc>
          <w:tcPr>
            <w:tcW w:w="1550" w:type="dxa"/>
            <w:vAlign w:val="center"/>
          </w:tcPr>
          <w:p>
            <w:pPr>
              <w:spacing w:line="360" w:lineRule="exact"/>
              <w:jc w:val="center"/>
              <w:rPr>
                <w:rFonts w:hint="eastAsia" w:ascii="仿宋_GB2312" w:hAnsi="仿宋_GB2312" w:eastAsia="仿宋_GB2312" w:cs="仿宋_GB2312"/>
                <w:color w:val="auto"/>
                <w:sz w:val="21"/>
                <w:szCs w:val="21"/>
              </w:rPr>
            </w:pPr>
          </w:p>
        </w:tc>
      </w:tr>
    </w:tbl>
    <w:p>
      <w:pPr>
        <w:pStyle w:val="2"/>
        <w:ind w:left="0" w:leftChars="0"/>
        <w:rPr>
          <w:color w:val="auto"/>
          <w:sz w:val="21"/>
          <w:szCs w:val="21"/>
        </w:rPr>
      </w:pPr>
    </w:p>
    <w:p>
      <w:pPr>
        <w:spacing w:line="390" w:lineRule="exact"/>
        <w:ind w:right="-256"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4" w:name="gxebd_pack_1_EvalFactorScoreEnd"/>
      <w:bookmarkEnd w:id="4"/>
      <w:r>
        <w:rPr>
          <w:rFonts w:hint="eastAsia" w:ascii="仿宋_GB2312" w:hAnsi="宋体" w:eastAsia="仿宋_GB2312"/>
          <w:b/>
          <w:color w:val="auto"/>
          <w:kern w:val="0"/>
          <w:sz w:val="24"/>
        </w:rPr>
        <w:t>三、</w:t>
      </w:r>
      <w:r>
        <w:rPr>
          <w:rFonts w:hint="eastAsia" w:ascii="仿宋_GB2312" w:hAnsi="仿宋_GB2312" w:eastAsia="仿宋_GB2312" w:cs="仿宋_GB2312"/>
          <w:b/>
          <w:color w:val="auto"/>
          <w:sz w:val="24"/>
        </w:rPr>
        <w:t>成交候选供应商推荐原则</w:t>
      </w:r>
    </w:p>
    <w:p>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w:t>
      </w:r>
      <w:r>
        <w:rPr>
          <w:rFonts w:hint="eastAsia" w:ascii="仿宋_GB2312" w:hAnsi="宋体"/>
          <w:b/>
          <w:color w:val="auto"/>
          <w:kern w:val="0"/>
          <w:sz w:val="24"/>
          <w:lang w:eastAsia="zh-CN"/>
        </w:rPr>
        <w:t>审</w:t>
      </w:r>
      <w:r>
        <w:rPr>
          <w:rFonts w:hint="eastAsia" w:ascii="仿宋_GB2312" w:hAnsi="宋体" w:eastAsia="仿宋_GB2312"/>
          <w:b/>
          <w:color w:val="auto"/>
          <w:kern w:val="0"/>
          <w:sz w:val="24"/>
        </w:rPr>
        <w:t>委员会将根据综合得分由高到低排列次序（得分相同时，以报价由低到高顺序排列；得分相同且报价相同的，按技术指标优</w:t>
      </w:r>
      <w:bookmarkStart w:id="6" w:name="_GoBack"/>
      <w:bookmarkEnd w:id="6"/>
      <w:r>
        <w:rPr>
          <w:rFonts w:hint="eastAsia" w:ascii="仿宋_GB2312" w:hAnsi="宋体" w:eastAsia="仿宋_GB2312"/>
          <w:b/>
          <w:color w:val="auto"/>
          <w:kern w:val="0"/>
          <w:sz w:val="24"/>
        </w:rPr>
        <w:t>劣顺序排列）并推荐综合得分前三名为</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。采购人应当确定评审委员会推荐排名第一的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为</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w:t>
      </w:r>
      <w:bookmarkStart w:id="5" w:name="_Hlk93676949"/>
      <w:r>
        <w:rPr>
          <w:rFonts w:hint="eastAsia" w:ascii="仿宋_GB2312" w:hAnsi="宋体" w:eastAsia="仿宋_GB2312"/>
          <w:b/>
          <w:color w:val="auto"/>
          <w:kern w:val="0"/>
          <w:sz w:val="24"/>
        </w:rPr>
        <w:t>排名第一的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放弃</w:t>
      </w:r>
      <w:r>
        <w:rPr>
          <w:rFonts w:hint="eastAsia" w:ascii="仿宋_GB2312" w:hAnsi="宋体"/>
          <w:b/>
          <w:color w:val="auto"/>
          <w:kern w:val="0"/>
          <w:sz w:val="24"/>
          <w:lang w:eastAsia="zh-CN"/>
        </w:rPr>
        <w:t>成交</w:t>
      </w:r>
      <w:r>
        <w:rPr>
          <w:rFonts w:hint="eastAsia" w:ascii="仿宋_GB2312" w:hAnsi="宋体" w:eastAsia="仿宋_GB2312"/>
          <w:b/>
          <w:color w:val="auto"/>
          <w:kern w:val="0"/>
          <w:sz w:val="24"/>
        </w:rPr>
        <w:t>、因不可抗力提出不能履行合同，</w:t>
      </w:r>
      <w:bookmarkEnd w:id="5"/>
      <w:r>
        <w:rPr>
          <w:rFonts w:hint="eastAsia" w:ascii="仿宋_GB2312" w:hAnsi="宋体" w:eastAsia="仿宋_GB2312"/>
          <w:b/>
          <w:color w:val="auto"/>
          <w:kern w:val="0"/>
          <w:sz w:val="24"/>
        </w:rPr>
        <w:t>采购人或采购代理机构应将该情况报政府采购监督管理部门，从合格的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中另行确定</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或重新开展政府采购活动。</w:t>
      </w:r>
    </w:p>
    <w:p>
      <w:pPr>
        <w:adjustRightInd w:val="0"/>
        <w:spacing w:line="400" w:lineRule="exact"/>
        <w:ind w:firstLine="482" w:firstLineChars="200"/>
        <w:jc w:val="left"/>
        <w:textAlignment w:val="baseline"/>
        <w:rPr>
          <w:rFonts w:hint="eastAsia" w:ascii="仿宋_GB2312" w:hAnsi="宋体" w:eastAsia="仿宋_GB2312"/>
          <w:b/>
          <w:bCs/>
          <w:color w:val="auto"/>
          <w:sz w:val="24"/>
        </w:rPr>
      </w:pPr>
      <w:r>
        <w:rPr>
          <w:rFonts w:hint="eastAsia" w:ascii="仿宋_GB2312" w:hAnsi="宋体" w:eastAsia="仿宋_GB2312"/>
          <w:b/>
          <w:color w:val="auto"/>
          <w:kern w:val="0"/>
          <w:sz w:val="24"/>
        </w:rPr>
        <w:t>在</w:t>
      </w:r>
      <w:r>
        <w:rPr>
          <w:rFonts w:hint="eastAsia" w:ascii="仿宋_GB2312" w:hAnsi="仿宋_GB2312" w:eastAsia="仿宋_GB2312" w:cs="仿宋_GB2312"/>
          <w:b/>
          <w:color w:val="auto"/>
          <w:sz w:val="24"/>
          <w:highlight w:val="none"/>
        </w:rPr>
        <w:t>成交通知书</w:t>
      </w:r>
      <w:r>
        <w:rPr>
          <w:rFonts w:hint="eastAsia" w:ascii="仿宋_GB2312" w:hAnsi="宋体" w:eastAsia="仿宋_GB2312"/>
          <w:b/>
          <w:color w:val="auto"/>
          <w:kern w:val="0"/>
          <w:sz w:val="24"/>
        </w:rPr>
        <w:t>发出前，采购人或采购代理机构应当对</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信用进行查询，并按照信用信息使用规则处理。当</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属于信用信息使用规则中应被拒绝参与政府采购活动的情形时，采购人或采购代理机构应将该情况报政府采购监督管理部门，从合格的</w:t>
      </w:r>
      <w:r>
        <w:rPr>
          <w:rFonts w:hint="eastAsia" w:ascii="仿宋_GB2312" w:hAnsi="仿宋_GB2312" w:eastAsia="仿宋_GB2312" w:cs="仿宋_GB2312"/>
          <w:b/>
          <w:color w:val="auto"/>
          <w:sz w:val="24"/>
          <w:highlight w:val="none"/>
        </w:rPr>
        <w:t>成交候选供应商</w:t>
      </w:r>
      <w:r>
        <w:rPr>
          <w:rFonts w:hint="eastAsia" w:ascii="仿宋_GB2312" w:hAnsi="宋体" w:eastAsia="仿宋_GB2312"/>
          <w:b/>
          <w:color w:val="auto"/>
          <w:kern w:val="0"/>
          <w:sz w:val="24"/>
        </w:rPr>
        <w:t>中另行确定</w:t>
      </w:r>
      <w:r>
        <w:rPr>
          <w:rFonts w:hint="eastAsia" w:ascii="仿宋_GB2312" w:hAnsi="仿宋_GB2312" w:eastAsia="仿宋_GB2312" w:cs="仿宋_GB2312"/>
          <w:b/>
          <w:color w:val="auto"/>
          <w:sz w:val="24"/>
          <w:highlight w:val="none"/>
        </w:rPr>
        <w:t>成交供应商</w:t>
      </w:r>
      <w:r>
        <w:rPr>
          <w:rFonts w:hint="eastAsia" w:ascii="仿宋_GB2312" w:hAnsi="宋体" w:eastAsia="仿宋_GB2312"/>
          <w:b/>
          <w:color w:val="auto"/>
          <w:kern w:val="0"/>
          <w:sz w:val="24"/>
        </w:rPr>
        <w:t>或重新开展政府采购活动</w:t>
      </w:r>
      <w:r>
        <w:rPr>
          <w:rFonts w:hint="eastAsia" w:ascii="仿宋_GB2312" w:hAnsi="宋体" w:eastAsia="仿宋_GB2312"/>
          <w:b/>
          <w:bCs/>
          <w:color w:val="auto"/>
          <w:sz w:val="24"/>
        </w:rPr>
        <w:t>。</w:t>
      </w:r>
    </w:p>
    <w:p>
      <w:pPr>
        <w:adjustRightInd w:val="0"/>
        <w:spacing w:line="400" w:lineRule="exact"/>
        <w:ind w:firstLine="482" w:firstLineChars="200"/>
        <w:jc w:val="left"/>
        <w:textAlignment w:val="baseline"/>
        <w:rPr>
          <w:rFonts w:hint="eastAsia" w:ascii="仿宋_GB2312" w:hAnsi="宋体" w:eastAsia="仿宋_GB2312"/>
          <w:b/>
          <w:bCs/>
          <w:color w:val="auto"/>
          <w:sz w:val="24"/>
        </w:rPr>
      </w:pPr>
    </w:p>
    <w:p>
      <w:pPr>
        <w:widowControl/>
        <w:jc w:val="left"/>
        <w:rPr>
          <w:rFonts w:hint="eastAsia" w:ascii="仿宋" w:hAnsi="仿宋" w:eastAsia="仿宋" w:cs="仿宋"/>
          <w:color w:val="auto"/>
          <w:spacing w:val="-1"/>
          <w:sz w:val="24"/>
        </w:rPr>
      </w:pPr>
    </w:p>
    <w:p>
      <w:pPr>
        <w:rPr>
          <w:color w:val="auto"/>
        </w:rPr>
      </w:pPr>
    </w:p>
    <w:p>
      <w:pPr>
        <w:numPr>
          <w:ilvl w:val="0"/>
          <w:numId w:val="0"/>
        </w:numPr>
        <w:rPr>
          <w:color w:val="auto"/>
        </w:rPr>
      </w:pPr>
    </w:p>
    <w:p>
      <w:pPr>
        <w:rPr>
          <w:rFonts w:hint="eastAsia"/>
          <w:color w:val="auto"/>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EB0CF"/>
    <w:multiLevelType w:val="singleLevel"/>
    <w:tmpl w:val="CB1EB0CF"/>
    <w:lvl w:ilvl="0" w:tentative="0">
      <w:start w:val="1"/>
      <w:numFmt w:val="decimal"/>
      <w:lvlText w:val="%1."/>
      <w:lvlJc w:val="left"/>
      <w:pPr>
        <w:tabs>
          <w:tab w:val="left" w:pos="312"/>
        </w:tabs>
      </w:pPr>
    </w:lvl>
  </w:abstractNum>
  <w:abstractNum w:abstractNumId="1">
    <w:nsid w:val="E7B9D2A4"/>
    <w:multiLevelType w:val="singleLevel"/>
    <w:tmpl w:val="E7B9D2A4"/>
    <w:lvl w:ilvl="0" w:tentative="0">
      <w:start w:val="1"/>
      <w:numFmt w:val="decimal"/>
      <w:lvlText w:val="%1."/>
      <w:lvlJc w:val="left"/>
      <w:pPr>
        <w:tabs>
          <w:tab w:val="left" w:pos="312"/>
        </w:tabs>
      </w:pPr>
    </w:lvl>
  </w:abstractNum>
  <w:abstractNum w:abstractNumId="2">
    <w:nsid w:val="EFEF5595"/>
    <w:multiLevelType w:val="singleLevel"/>
    <w:tmpl w:val="EFEF559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65064"/>
    <w:rsid w:val="043849E7"/>
    <w:rsid w:val="067630F5"/>
    <w:rsid w:val="0BA624A7"/>
    <w:rsid w:val="0BFF9DED"/>
    <w:rsid w:val="0C033FD3"/>
    <w:rsid w:val="0DC53FB5"/>
    <w:rsid w:val="0DDF0A33"/>
    <w:rsid w:val="15A043C5"/>
    <w:rsid w:val="1BE97746"/>
    <w:rsid w:val="1C232751"/>
    <w:rsid w:val="1CEFEB54"/>
    <w:rsid w:val="1D7FD034"/>
    <w:rsid w:val="1ED052DF"/>
    <w:rsid w:val="1FAF6FFA"/>
    <w:rsid w:val="231F2E1D"/>
    <w:rsid w:val="28743F5C"/>
    <w:rsid w:val="2B667FCA"/>
    <w:rsid w:val="2E2C1B65"/>
    <w:rsid w:val="315A06C8"/>
    <w:rsid w:val="327B7297"/>
    <w:rsid w:val="33EF1967"/>
    <w:rsid w:val="34BB3C2A"/>
    <w:rsid w:val="3579696B"/>
    <w:rsid w:val="3AF61896"/>
    <w:rsid w:val="3B9F7925"/>
    <w:rsid w:val="3CB96F0F"/>
    <w:rsid w:val="3DC627B1"/>
    <w:rsid w:val="3E4964B9"/>
    <w:rsid w:val="3F75EBCA"/>
    <w:rsid w:val="3FC470FB"/>
    <w:rsid w:val="44BEF328"/>
    <w:rsid w:val="46B1183A"/>
    <w:rsid w:val="49061425"/>
    <w:rsid w:val="4A5D924D"/>
    <w:rsid w:val="4BDAE6F4"/>
    <w:rsid w:val="4E8866B7"/>
    <w:rsid w:val="4F7B4C89"/>
    <w:rsid w:val="53035F10"/>
    <w:rsid w:val="53266E38"/>
    <w:rsid w:val="538D2967"/>
    <w:rsid w:val="55517A88"/>
    <w:rsid w:val="57BCCB64"/>
    <w:rsid w:val="59EC0852"/>
    <w:rsid w:val="5CEFC985"/>
    <w:rsid w:val="5DFDD8AD"/>
    <w:rsid w:val="5FD3C1F1"/>
    <w:rsid w:val="60CD32F1"/>
    <w:rsid w:val="614B322B"/>
    <w:rsid w:val="63F65E13"/>
    <w:rsid w:val="652E22D7"/>
    <w:rsid w:val="66705362"/>
    <w:rsid w:val="67EFD3E3"/>
    <w:rsid w:val="69A21744"/>
    <w:rsid w:val="6B7D133E"/>
    <w:rsid w:val="6DBE3DE4"/>
    <w:rsid w:val="6F4A3F3F"/>
    <w:rsid w:val="6FFF2400"/>
    <w:rsid w:val="73F3F06F"/>
    <w:rsid w:val="76927A47"/>
    <w:rsid w:val="76EBCB12"/>
    <w:rsid w:val="79166A6D"/>
    <w:rsid w:val="7DBD7062"/>
    <w:rsid w:val="7DFC94FD"/>
    <w:rsid w:val="7DFCE0E1"/>
    <w:rsid w:val="7DFEFD75"/>
    <w:rsid w:val="7EBDFDBE"/>
    <w:rsid w:val="7F9DCB57"/>
    <w:rsid w:val="7FBF5E5B"/>
    <w:rsid w:val="7FE77329"/>
    <w:rsid w:val="7FEFCE32"/>
    <w:rsid w:val="7FF5D95D"/>
    <w:rsid w:val="93EFEA88"/>
    <w:rsid w:val="9AFB39D9"/>
    <w:rsid w:val="9BDB77F5"/>
    <w:rsid w:val="AD7F7208"/>
    <w:rsid w:val="B7BF1502"/>
    <w:rsid w:val="BBFF5AA8"/>
    <w:rsid w:val="BBFF98F4"/>
    <w:rsid w:val="BD7541F6"/>
    <w:rsid w:val="BDBF6514"/>
    <w:rsid w:val="BDDEEEC3"/>
    <w:rsid w:val="BF7968F3"/>
    <w:rsid w:val="BFFAB840"/>
    <w:rsid w:val="CBADB083"/>
    <w:rsid w:val="D1EA0523"/>
    <w:rsid w:val="DC79909A"/>
    <w:rsid w:val="DEDF3619"/>
    <w:rsid w:val="DF3FC131"/>
    <w:rsid w:val="DF7F08C9"/>
    <w:rsid w:val="DFFF67CB"/>
    <w:rsid w:val="EFCEA1D6"/>
    <w:rsid w:val="F0DF4111"/>
    <w:rsid w:val="F47E0972"/>
    <w:rsid w:val="F77D51D0"/>
    <w:rsid w:val="F7D38ED5"/>
    <w:rsid w:val="F7E6AB9C"/>
    <w:rsid w:val="F97E4E99"/>
    <w:rsid w:val="F9CE004B"/>
    <w:rsid w:val="FB763A36"/>
    <w:rsid w:val="FBB41730"/>
    <w:rsid w:val="FBDBE03E"/>
    <w:rsid w:val="FD74644A"/>
    <w:rsid w:val="FDFA7447"/>
    <w:rsid w:val="FEBFFE77"/>
    <w:rsid w:val="FEFF650F"/>
    <w:rsid w:val="FF6F1493"/>
    <w:rsid w:val="FF7FEE2D"/>
    <w:rsid w:val="FF9FF5FD"/>
    <w:rsid w:val="FFB67718"/>
    <w:rsid w:val="FFD65CB1"/>
    <w:rsid w:val="FFE7ADA1"/>
    <w:rsid w:val="FFFE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880" w:firstLineChars="200"/>
      <w:outlineLvl w:val="0"/>
    </w:pPr>
    <w:rPr>
      <w:rFonts w:eastAsia="黑体"/>
      <w:kern w:val="44"/>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Times New Roman" w:hAnsi="Times New Roman" w:eastAsia="楷体_GB2312"/>
    </w:rPr>
  </w:style>
  <w:style w:type="paragraph" w:styleId="5">
    <w:name w:val="heading 3"/>
    <w:basedOn w:val="1"/>
    <w:next w:val="1"/>
    <w:semiHidden/>
    <w:unhideWhenUsed/>
    <w:qFormat/>
    <w:uiPriority w:val="0"/>
    <w:pPr>
      <w:keepNext/>
      <w:keepLines/>
      <w:spacing w:beforeLines="0" w:beforeAutospacing="0" w:afterLines="0" w:afterAutospacing="0" w:line="240" w:lineRule="auto"/>
      <w:ind w:firstLine="880" w:firstLineChars="200"/>
      <w:outlineLvl w:val="2"/>
    </w:pPr>
    <w:rPr>
      <w:b/>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Times New Roman" w:hAnsi="Times New Roman" w:eastAsia="仿宋_GB2312"/>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4">
    <w:name w:val="List Paragraph"/>
    <w:basedOn w:val="1"/>
    <w:qFormat/>
    <w:uiPriority w:val="34"/>
    <w:pPr>
      <w:ind w:firstLine="420" w:firstLineChars="200"/>
    </w:pPr>
  </w:style>
  <w:style w:type="table" w:customStyle="1" w:styleId="15">
    <w:name w:val="Normal Table_file_322_file_615_file_285"/>
    <w:semiHidden/>
    <w:qFormat/>
    <w:uiPriority w:val="0"/>
    <w:tblPr>
      <w:tblCellMar>
        <w:top w:w="0" w:type="dxa"/>
        <w:left w:w="108" w:type="dxa"/>
        <w:bottom w:w="0" w:type="dxa"/>
        <w:right w:w="108" w:type="dxa"/>
      </w:tblCellMar>
    </w:tblPr>
  </w:style>
  <w:style w:type="paragraph" w:customStyle="1" w:styleId="16">
    <w:name w:val="Block Text_file_1697"/>
    <w:basedOn w:val="17"/>
    <w:qFormat/>
    <w:uiPriority w:val="0"/>
    <w:pPr>
      <w:adjustRightInd w:val="0"/>
      <w:ind w:left="420" w:right="33"/>
      <w:jc w:val="left"/>
      <w:textAlignment w:val="baseline"/>
    </w:pPr>
    <w:rPr>
      <w:kern w:val="0"/>
      <w:sz w:val="24"/>
      <w:szCs w:val="20"/>
    </w:rPr>
  </w:style>
  <w:style w:type="paragraph" w:customStyle="1" w:styleId="17">
    <w:name w:val="Normal_file_1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Normal (Web)_file_1708"/>
    <w:basedOn w:val="19"/>
    <w:semiHidden/>
    <w:unhideWhenUsed/>
    <w:qFormat/>
    <w:uiPriority w:val="99"/>
  </w:style>
  <w:style w:type="paragraph" w:customStyle="1" w:styleId="19">
    <w:name w:val="Normal_file_170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0">
    <w:name w:val="Strong_file_1708"/>
    <w:basedOn w:val="21"/>
    <w:qFormat/>
    <w:uiPriority w:val="22"/>
    <w:rPr>
      <w:b/>
      <w:bCs/>
    </w:rPr>
  </w:style>
  <w:style w:type="character" w:customStyle="1" w:styleId="21">
    <w:name w:val="Default Paragraph Font_file_1708"/>
    <w:semiHidden/>
    <w:unhideWhenUsed/>
    <w:qFormat/>
    <w:uiPriority w:val="1"/>
  </w:style>
  <w:style w:type="paragraph" w:customStyle="1" w:styleId="22">
    <w:name w:val="Normal (Web)_file_628"/>
    <w:basedOn w:val="23"/>
    <w:semiHidden/>
    <w:unhideWhenUsed/>
    <w:qFormat/>
    <w:uiPriority w:val="99"/>
  </w:style>
  <w:style w:type="paragraph" w:customStyle="1" w:styleId="23">
    <w:name w:val="Normal_file_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
    <w:name w:val="Normal (Web)_file_1709"/>
    <w:basedOn w:val="25"/>
    <w:semiHidden/>
    <w:unhideWhenUsed/>
    <w:qFormat/>
    <w:uiPriority w:val="99"/>
  </w:style>
  <w:style w:type="paragraph" w:customStyle="1" w:styleId="25">
    <w:name w:val="Normal_file_1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
    <w:name w:val="Normal (Web)_file_1250"/>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customStyle="1" w:styleId="27">
    <w:name w:val="Normal Table_file_618"/>
    <w:semiHidden/>
    <w:qFormat/>
    <w:uiPriority w:val="0"/>
    <w:tblPr>
      <w:tblCellMar>
        <w:top w:w="0" w:type="dxa"/>
        <w:left w:w="108" w:type="dxa"/>
        <w:bottom w:w="0" w:type="dxa"/>
        <w:right w:w="108" w:type="dxa"/>
      </w:tblCellMar>
    </w:tblPr>
  </w:style>
  <w:style w:type="paragraph" w:customStyle="1" w:styleId="28">
    <w:name w:val="Plain Text_file_618"/>
    <w:basedOn w:val="29"/>
    <w:next w:val="3"/>
    <w:qFormat/>
    <w:uiPriority w:val="0"/>
    <w:rPr>
      <w:rFonts w:ascii="宋体" w:hAnsi="Courier New" w:cs="Courier New"/>
      <w:szCs w:val="21"/>
    </w:rPr>
  </w:style>
  <w:style w:type="paragraph" w:customStyle="1" w:styleId="29">
    <w:name w:val="Normal_file_618"/>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Plain Text_file_372_file_669_file_674_file_222"/>
    <w:basedOn w:val="31"/>
    <w:qFormat/>
    <w:uiPriority w:val="0"/>
    <w:rPr>
      <w:rFonts w:ascii="宋体" w:hAnsi="Courier New" w:cs="Courier New"/>
      <w:szCs w:val="21"/>
    </w:rPr>
  </w:style>
  <w:style w:type="paragraph" w:customStyle="1" w:styleId="31">
    <w:name w:val="Normal_file_372_file_669_file_674_file_222"/>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
    <w:name w:val="Normal Table_file_290"/>
    <w:semiHidden/>
    <w:qFormat/>
    <w:uiPriority w:val="0"/>
    <w:tblPr>
      <w:tblCellMar>
        <w:top w:w="0" w:type="dxa"/>
        <w:left w:w="108" w:type="dxa"/>
        <w:bottom w:w="0" w:type="dxa"/>
        <w:right w:w="108" w:type="dxa"/>
      </w:tblCellMar>
    </w:tblPr>
  </w:style>
  <w:style w:type="paragraph" w:customStyle="1" w:styleId="33">
    <w:name w:val="Plain Text_file_290"/>
    <w:basedOn w:val="34"/>
    <w:next w:val="3"/>
    <w:qFormat/>
    <w:uiPriority w:val="0"/>
    <w:rPr>
      <w:rFonts w:ascii="宋体" w:hAnsi="Courier New" w:cs="Courier New"/>
      <w:szCs w:val="21"/>
    </w:rPr>
  </w:style>
  <w:style w:type="paragraph" w:customStyle="1" w:styleId="34">
    <w:name w:val="Normal_file_290"/>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2023-03-21T01:29:00Z</dcterms:created>
  <dc:creator>Administrator</dc:creator>
  <cp:lastModifiedBy>Administrator</cp:lastModifiedBy>
  <cp:lastPrinted>2024-11-30T17:08:00Z</cp:lastPrinted>
  <dcterms:modified xsi:type="dcterms:W3CDTF">2026-05-14T09:06:00Z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95D3EB2813F04E4988851D6EBECB6A5F</vt:lpwstr>
  </property>
</Properties>
</file>