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方正小标宋_GBK" w:hAnsi="方正小标宋_GBK" w:eastAsia="方正小标宋_GBK" w:cs="方正小标宋_GBK"/>
          <w:b w:val="0"/>
          <w:bCs w:val="0"/>
          <w:color w:val="auto"/>
          <w:sz w:val="44"/>
          <w:szCs w:val="44"/>
          <w:lang w:val="en-US" w:eastAsia="zh-CN"/>
        </w:rPr>
      </w:pPr>
      <w:bookmarkStart w:id="0" w:name="_Toc7068"/>
      <w:bookmarkStart w:id="13" w:name="_GoBack"/>
      <w:r>
        <w:rPr>
          <w:rFonts w:hint="eastAsia" w:ascii="方正小标宋_GBK" w:hAnsi="方正小标宋_GBK" w:eastAsia="方正小标宋_GBK" w:cs="方正小标宋_GBK"/>
          <w:b w:val="0"/>
          <w:bCs w:val="0"/>
          <w:color w:val="auto"/>
          <w:sz w:val="44"/>
          <w:szCs w:val="44"/>
          <w:lang w:val="en-US" w:eastAsia="zh-CN"/>
        </w:rPr>
        <w:t>公共机构能源审计服务采购</w:t>
      </w:r>
      <w:bookmarkEnd w:id="0"/>
    </w:p>
    <w:p>
      <w:pPr>
        <w:jc w:val="center"/>
        <w:outlineLvl w:val="0"/>
        <w:rPr>
          <w:rFonts w:hint="default" w:ascii="方正小标宋_GBK" w:hAnsi="方正小标宋_GBK" w:eastAsia="方正小标宋_GBK" w:cs="方正小标宋_GBK"/>
          <w:b w:val="0"/>
          <w:bCs w:val="0"/>
          <w:color w:val="auto"/>
          <w:sz w:val="32"/>
          <w:szCs w:val="32"/>
          <w:lang w:val="en-US" w:eastAsia="zh-CN"/>
        </w:rPr>
      </w:pPr>
      <w:bookmarkStart w:id="1" w:name="_Toc2149"/>
      <w:r>
        <w:rPr>
          <w:rFonts w:hint="eastAsia" w:ascii="方正小标宋_GBK" w:hAnsi="方正小标宋_GBK" w:eastAsia="方正小标宋_GBK" w:cs="方正小标宋_GBK"/>
          <w:b w:val="0"/>
          <w:bCs w:val="0"/>
          <w:color w:val="auto"/>
          <w:sz w:val="32"/>
          <w:szCs w:val="32"/>
          <w:lang w:val="en-US" w:eastAsia="zh-CN"/>
        </w:rPr>
        <w:t>第一部分 采购需求</w:t>
      </w:r>
      <w:bookmarkEnd w:id="1"/>
    </w:p>
    <w:p>
      <w:pPr>
        <w:keepNext w:val="0"/>
        <w:keepLines w:val="0"/>
        <w:pageBreakBefore w:val="0"/>
        <w:widowControl w:val="0"/>
        <w:tabs>
          <w:tab w:val="center" w:pos="4410"/>
          <w:tab w:val="left" w:pos="6735"/>
        </w:tabs>
        <w:kinsoku/>
        <w:wordWrap/>
        <w:overflowPunct/>
        <w:topLinePunct w:val="0"/>
        <w:autoSpaceDE/>
        <w:autoSpaceDN/>
        <w:bidi w:val="0"/>
        <w:adjustRightInd/>
        <w:snapToGrid/>
        <w:spacing w:line="560" w:lineRule="exact"/>
        <w:ind w:firstLine="560" w:firstLineChars="200"/>
        <w:jc w:val="left"/>
        <w:textAlignment w:val="auto"/>
        <w:outlineLvl w:val="1"/>
        <w:rPr>
          <w:rStyle w:val="22"/>
          <w:rFonts w:hint="eastAsia" w:ascii="黑体" w:hAnsi="黑体" w:eastAsia="黑体" w:cs="黑体"/>
          <w:b w:val="0"/>
          <w:bCs/>
          <w:color w:val="auto"/>
          <w:sz w:val="28"/>
          <w:szCs w:val="28"/>
        </w:rPr>
      </w:pPr>
      <w:bookmarkStart w:id="2" w:name="_Toc17468"/>
      <w:r>
        <w:rPr>
          <w:rStyle w:val="22"/>
          <w:rFonts w:hint="eastAsia" w:ascii="黑体" w:hAnsi="黑体" w:eastAsia="黑体" w:cs="黑体"/>
          <w:b w:val="0"/>
          <w:bCs/>
          <w:color w:val="auto"/>
          <w:sz w:val="28"/>
          <w:szCs w:val="28"/>
        </w:rPr>
        <w:t>一、项目概况</w:t>
      </w:r>
      <w:bookmarkEnd w:id="2"/>
    </w:p>
    <w:p>
      <w:pPr>
        <w:pStyle w:val="21"/>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outlineLvl w:val="9"/>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1.项目名称：公共机构能源审计服务采购。</w:t>
      </w:r>
    </w:p>
    <w:p>
      <w:pPr>
        <w:pStyle w:val="21"/>
        <w:keepNext w:val="0"/>
        <w:keepLines w:val="0"/>
        <w:pageBreakBefore w:val="0"/>
        <w:widowControl w:val="0"/>
        <w:kinsoku/>
        <w:wordWrap/>
        <w:overflowPunct/>
        <w:topLinePunct w:val="0"/>
        <w:autoSpaceDE w:val="0"/>
        <w:autoSpaceDN w:val="0"/>
        <w:bidi w:val="0"/>
        <w:adjustRightInd w:val="0"/>
        <w:snapToGrid/>
        <w:spacing w:line="400" w:lineRule="exact"/>
        <w:ind w:left="1919" w:leftChars="228" w:hanging="1440" w:hangingChars="600"/>
        <w:textAlignment w:val="auto"/>
        <w:outlineLvl w:val="9"/>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2.项目地点：柳州市（含各城区县区）的21家公共机构重点用能单位，由采购人指定地点。</w:t>
      </w:r>
    </w:p>
    <w:p>
      <w:pPr>
        <w:pStyle w:val="21"/>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outlineLvl w:val="9"/>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3.项目预算：总预算200000元。</w:t>
      </w:r>
    </w:p>
    <w:p>
      <w:pPr>
        <w:pStyle w:val="21"/>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outlineLvl w:val="9"/>
        <w:rPr>
          <w:rFonts w:hint="default"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4.采购内容：对21家公共机构重点用能单位开展能源审计工作。</w:t>
      </w:r>
    </w:p>
    <w:p>
      <w:pPr>
        <w:keepNext w:val="0"/>
        <w:keepLines w:val="0"/>
        <w:pageBreakBefore w:val="0"/>
        <w:widowControl w:val="0"/>
        <w:tabs>
          <w:tab w:val="center" w:pos="4410"/>
          <w:tab w:val="left" w:pos="6735"/>
        </w:tabs>
        <w:kinsoku/>
        <w:wordWrap/>
        <w:overflowPunct/>
        <w:topLinePunct w:val="0"/>
        <w:autoSpaceDE/>
        <w:autoSpaceDN/>
        <w:bidi w:val="0"/>
        <w:adjustRightInd/>
        <w:snapToGrid/>
        <w:spacing w:line="560" w:lineRule="exact"/>
        <w:ind w:firstLine="560" w:firstLineChars="200"/>
        <w:jc w:val="left"/>
        <w:textAlignment w:val="auto"/>
        <w:outlineLvl w:val="1"/>
        <w:rPr>
          <w:rStyle w:val="22"/>
          <w:rFonts w:hint="eastAsia" w:ascii="黑体" w:hAnsi="黑体" w:eastAsia="黑体" w:cs="黑体"/>
          <w:b w:val="0"/>
          <w:bCs/>
          <w:color w:val="auto"/>
          <w:sz w:val="28"/>
          <w:szCs w:val="28"/>
          <w:lang w:eastAsia="zh-CN"/>
        </w:rPr>
      </w:pPr>
      <w:bookmarkStart w:id="3" w:name="_Toc29715"/>
      <w:r>
        <w:rPr>
          <w:rStyle w:val="22"/>
          <w:rFonts w:hint="eastAsia" w:ascii="黑体" w:hAnsi="黑体" w:eastAsia="黑体" w:cs="黑体"/>
          <w:b w:val="0"/>
          <w:bCs/>
          <w:color w:val="auto"/>
          <w:sz w:val="28"/>
          <w:szCs w:val="28"/>
          <w:lang w:eastAsia="zh-CN"/>
        </w:rPr>
        <w:t>二、采购需求</w:t>
      </w:r>
      <w:bookmarkEnd w:id="3"/>
    </w:p>
    <w:tbl>
      <w:tblPr>
        <w:tblStyle w:val="17"/>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921"/>
        <w:gridCol w:w="128"/>
        <w:gridCol w:w="368"/>
        <w:gridCol w:w="6542"/>
        <w:gridCol w:w="84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7"/>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 w:hAnsi="仿宋" w:eastAsia="仿宋" w:cs="仿宋"/>
                <w:color w:val="auto"/>
                <w:sz w:val="24"/>
              </w:rPr>
            </w:pPr>
            <w:r>
              <w:rPr>
                <w:rFonts w:hint="eastAsia" w:ascii="仿宋" w:hAnsi="仿宋" w:eastAsia="仿宋" w:cs="仿宋"/>
                <w:b/>
                <w:color w:val="auto"/>
                <w:sz w:val="24"/>
              </w:rPr>
              <w:t>一、服务内容要求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 w:hAnsi="仿宋" w:eastAsia="仿宋" w:cs="仿宋"/>
                <w:b/>
                <w:color w:val="auto"/>
                <w:sz w:val="24"/>
              </w:rPr>
            </w:pPr>
            <w:r>
              <w:rPr>
                <w:rFonts w:hint="eastAsia" w:ascii="仿宋" w:hAnsi="仿宋" w:eastAsia="仿宋" w:cs="仿宋"/>
                <w:b/>
                <w:color w:val="auto"/>
                <w:sz w:val="24"/>
              </w:rPr>
              <w:t>项号</w:t>
            </w:r>
          </w:p>
        </w:tc>
        <w:tc>
          <w:tcPr>
            <w:tcW w:w="1417"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 w:hAnsi="仿宋" w:eastAsia="仿宋" w:cs="仿宋"/>
                <w:b/>
                <w:color w:val="auto"/>
                <w:sz w:val="24"/>
              </w:rPr>
            </w:pPr>
            <w:r>
              <w:rPr>
                <w:rFonts w:hint="eastAsia" w:ascii="仿宋" w:hAnsi="仿宋" w:eastAsia="仿宋" w:cs="仿宋"/>
                <w:b/>
                <w:color w:val="auto"/>
                <w:sz w:val="24"/>
              </w:rPr>
              <w:t>名称</w:t>
            </w:r>
          </w:p>
        </w:tc>
        <w:tc>
          <w:tcPr>
            <w:tcW w:w="65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 w:hAnsi="仿宋" w:eastAsia="仿宋" w:cs="仿宋"/>
                <w:b/>
                <w:color w:val="auto"/>
                <w:sz w:val="24"/>
              </w:rPr>
            </w:pPr>
            <w:r>
              <w:rPr>
                <w:rFonts w:hint="eastAsia" w:ascii="仿宋" w:hAnsi="仿宋" w:eastAsia="仿宋" w:cs="仿宋"/>
                <w:b/>
                <w:color w:val="auto"/>
                <w:sz w:val="24"/>
              </w:rPr>
              <w:t>服务内容要求</w:t>
            </w:r>
          </w:p>
        </w:tc>
        <w:tc>
          <w:tcPr>
            <w:tcW w:w="853"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 w:hAnsi="仿宋" w:eastAsia="仿宋" w:cs="仿宋"/>
                <w:b/>
                <w:color w:val="auto"/>
                <w:sz w:val="24"/>
              </w:rPr>
            </w:pPr>
            <w:r>
              <w:rPr>
                <w:rFonts w:hint="eastAsia" w:ascii="仿宋" w:hAnsi="仿宋" w:eastAsia="仿宋" w:cs="仿宋"/>
                <w:b/>
                <w:color w:val="auto"/>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1417"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b/>
                <w:color w:val="auto"/>
                <w:sz w:val="24"/>
              </w:rPr>
              <w:t>公共机构能源审计服务</w:t>
            </w:r>
          </w:p>
        </w:tc>
        <w:tc>
          <w:tcPr>
            <w:tcW w:w="6542" w:type="dxa"/>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一、基本情况</w:t>
            </w:r>
          </w:p>
          <w:p>
            <w:pPr>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为贯彻落实国家建设节约型公共机构总体部署，加强公共机构节能管理，提高公共机构能源利用效率，节约财政支出，依据《公共机构节能条例》（国务院〔2008〕第531号令）、《公共机构能源审计暂行办法》（国家发改委、国管局〔2015〕第32号令）、《公共机构能源审计技术导则》（GBT31342-2014）及《公共机构能源审计管理暂行办法》等相关规定，组织开展能源审计工作。</w:t>
            </w:r>
          </w:p>
          <w:p>
            <w:pPr>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能源审计对象范围：</w:t>
            </w:r>
            <w:r>
              <w:rPr>
                <w:rFonts w:hint="eastAsia" w:ascii="仿宋_GB2312" w:hAnsi="仿宋_GB2312" w:eastAsia="仿宋_GB2312" w:cs="仿宋_GB2312"/>
                <w:color w:val="auto"/>
                <w:sz w:val="24"/>
                <w:highlight w:val="none"/>
              </w:rPr>
              <w:t>柳州市机关事务管理局指定的公共机构</w:t>
            </w:r>
            <w:r>
              <w:rPr>
                <w:rFonts w:hint="eastAsia" w:ascii="仿宋_GB2312" w:hAnsi="仿宋_GB2312" w:eastAsia="仿宋_GB2312" w:cs="仿宋_GB2312"/>
                <w:color w:val="auto"/>
                <w:sz w:val="24"/>
                <w:highlight w:val="none"/>
                <w:lang w:val="en-US" w:eastAsia="zh-CN"/>
              </w:rPr>
              <w:t>21</w:t>
            </w:r>
            <w:r>
              <w:rPr>
                <w:rFonts w:hint="eastAsia" w:ascii="仿宋_GB2312" w:hAnsi="仿宋_GB2312" w:eastAsia="仿宋_GB2312" w:cs="仿宋_GB2312"/>
                <w:color w:val="auto"/>
                <w:sz w:val="24"/>
                <w:highlight w:val="none"/>
              </w:rPr>
              <w:t>家单位。</w:t>
            </w:r>
          </w:p>
          <w:p>
            <w:pPr>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二、能源审计程序</w:t>
            </w:r>
          </w:p>
          <w:p>
            <w:pPr>
              <w:rPr>
                <w:rFonts w:hint="eastAsia" w:ascii="仿宋_GB2312" w:hAnsi="仿宋_GB2312" w:eastAsia="仿宋_GB2312" w:cs="仿宋_GB2312"/>
                <w:color w:val="auto"/>
                <w:sz w:val="24"/>
              </w:rPr>
            </w:pPr>
            <w:r>
              <w:rPr>
                <w:rFonts w:hint="eastAsia" w:ascii="仿宋_GB2312" w:hAnsi="仿宋_GB2312" w:eastAsia="仿宋_GB2312" w:cs="仿宋_GB2312"/>
                <w:b/>
                <w:bCs/>
                <w:color w:val="auto"/>
                <w:sz w:val="24"/>
              </w:rPr>
              <w:t>1.制定方案：</w:t>
            </w:r>
            <w:r>
              <w:rPr>
                <w:rFonts w:hint="eastAsia" w:ascii="仿宋_GB2312" w:hAnsi="仿宋_GB2312" w:eastAsia="仿宋_GB2312" w:cs="仿宋_GB2312"/>
                <w:color w:val="auto"/>
                <w:sz w:val="24"/>
              </w:rPr>
              <w:t>包括前期沟通、编制方案、启动会议方案；</w:t>
            </w:r>
          </w:p>
          <w:p>
            <w:pPr>
              <w:rPr>
                <w:rFonts w:hint="eastAsia" w:ascii="仿宋_GB2312" w:hAnsi="仿宋_GB2312" w:eastAsia="仿宋_GB2312" w:cs="仿宋_GB2312"/>
                <w:color w:val="auto"/>
                <w:sz w:val="24"/>
              </w:rPr>
            </w:pPr>
            <w:r>
              <w:rPr>
                <w:rFonts w:hint="eastAsia" w:ascii="仿宋_GB2312" w:hAnsi="仿宋_GB2312" w:eastAsia="仿宋_GB2312" w:cs="仿宋_GB2312"/>
                <w:b/>
                <w:bCs/>
                <w:color w:val="auto"/>
                <w:sz w:val="24"/>
              </w:rPr>
              <w:t>2.信息收集</w:t>
            </w:r>
            <w:r>
              <w:rPr>
                <w:rFonts w:hint="eastAsia" w:ascii="仿宋_GB2312" w:hAnsi="仿宋_GB2312" w:eastAsia="仿宋_GB2312" w:cs="仿宋_GB2312"/>
                <w:color w:val="auto"/>
                <w:sz w:val="24"/>
              </w:rPr>
              <w:t>：收集公共机构基本信息、能源资源管理方面信息，统计公共机构建筑物的总体构成情况、建筑物围护结构信息及用能基本信息；</w:t>
            </w:r>
          </w:p>
          <w:p>
            <w:pPr>
              <w:rPr>
                <w:rFonts w:hint="eastAsia" w:ascii="仿宋_GB2312" w:hAnsi="仿宋_GB2312" w:eastAsia="仿宋_GB2312" w:cs="仿宋_GB2312"/>
                <w:color w:val="auto"/>
                <w:sz w:val="24"/>
              </w:rPr>
            </w:pPr>
            <w:r>
              <w:rPr>
                <w:rFonts w:hint="eastAsia" w:ascii="仿宋_GB2312" w:hAnsi="仿宋_GB2312" w:eastAsia="仿宋_GB2312" w:cs="仿宋_GB2312"/>
                <w:b/>
                <w:bCs/>
                <w:color w:val="auto"/>
                <w:sz w:val="24"/>
              </w:rPr>
              <w:t>3.初步分析：</w:t>
            </w:r>
            <w:r>
              <w:rPr>
                <w:rFonts w:hint="eastAsia" w:ascii="仿宋_GB2312" w:hAnsi="仿宋_GB2312" w:eastAsia="仿宋_GB2312" w:cs="仿宋_GB2312"/>
                <w:color w:val="auto"/>
                <w:sz w:val="24"/>
              </w:rPr>
              <w:t>对收集到的基本信息和数据进行审查，核实数据的真实性和准确性。对公共机构能源消耗情况，绘制能源消耗流向示意图，简要说明各项能源消耗所涉及的建筑区域和用能系统；</w:t>
            </w:r>
          </w:p>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w:t>
            </w:r>
            <w:r>
              <w:rPr>
                <w:rFonts w:hint="eastAsia" w:ascii="仿宋_GB2312" w:hAnsi="仿宋_GB2312" w:eastAsia="仿宋_GB2312" w:cs="仿宋_GB2312"/>
                <w:b/>
                <w:bCs/>
                <w:color w:val="auto"/>
                <w:sz w:val="24"/>
              </w:rPr>
              <w:t>.现场实施</w:t>
            </w:r>
            <w:r>
              <w:rPr>
                <w:rFonts w:hint="eastAsia" w:ascii="仿宋_GB2312" w:hAnsi="仿宋_GB2312" w:eastAsia="仿宋_GB2312" w:cs="仿宋_GB2312"/>
                <w:color w:val="auto"/>
                <w:sz w:val="24"/>
              </w:rPr>
              <w:t>：包括制定计划、现场调查、现场测试；</w:t>
            </w:r>
          </w:p>
          <w:p>
            <w:pPr>
              <w:rPr>
                <w:rFonts w:hint="eastAsia" w:ascii="仿宋_GB2312" w:hAnsi="仿宋_GB2312" w:eastAsia="仿宋_GB2312" w:cs="仿宋_GB2312"/>
                <w:color w:val="auto"/>
                <w:sz w:val="24"/>
              </w:rPr>
            </w:pPr>
            <w:r>
              <w:rPr>
                <w:rFonts w:hint="eastAsia" w:ascii="仿宋_GB2312" w:hAnsi="仿宋_GB2312" w:eastAsia="仿宋_GB2312" w:cs="仿宋_GB2312"/>
                <w:b/>
                <w:bCs/>
                <w:color w:val="auto"/>
                <w:sz w:val="24"/>
              </w:rPr>
              <w:t>5.分析评价</w:t>
            </w:r>
            <w:r>
              <w:rPr>
                <w:rFonts w:hint="eastAsia" w:ascii="仿宋_GB2312" w:hAnsi="仿宋_GB2312" w:eastAsia="仿宋_GB2312" w:cs="仿宋_GB2312"/>
                <w:color w:val="auto"/>
                <w:sz w:val="24"/>
              </w:rPr>
              <w:t>：包括完善数据、能量平衡分析、数据汇总综合分析、主要用能系统分析评价、能源管理状况和绩效分析、能源计量及统计状况分析、节能效果与节能潜力分析；</w:t>
            </w:r>
          </w:p>
          <w:p>
            <w:pPr>
              <w:rPr>
                <w:rFonts w:hint="eastAsia" w:ascii="仿宋_GB2312" w:hAnsi="仿宋_GB2312" w:eastAsia="仿宋_GB2312" w:cs="仿宋_GB2312"/>
                <w:color w:val="auto"/>
                <w:sz w:val="24"/>
              </w:rPr>
            </w:pPr>
            <w:r>
              <w:rPr>
                <w:rFonts w:hint="eastAsia" w:ascii="仿宋_GB2312" w:hAnsi="仿宋_GB2312" w:eastAsia="仿宋_GB2312" w:cs="仿宋_GB2312"/>
                <w:b/>
                <w:bCs/>
                <w:color w:val="auto"/>
                <w:sz w:val="24"/>
              </w:rPr>
              <w:t>6.形成报告</w:t>
            </w:r>
            <w:r>
              <w:rPr>
                <w:rFonts w:hint="eastAsia" w:ascii="仿宋_GB2312" w:hAnsi="仿宋_GB2312" w:eastAsia="仿宋_GB2312" w:cs="仿宋_GB2312"/>
                <w:color w:val="auto"/>
                <w:sz w:val="24"/>
              </w:rPr>
              <w:t>：按规定编制审计报告并送采购人核验。</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三、能源审计服务内容</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本项目依据《公共机构能源审计管理暂行办法》和《公共机构能源审计技术导则》（GB/T 31342-2014）要求，应完成以下内容：</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（1）公共机构概况</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公共机构基本情况、建筑物概况、能源资源利用总体情况，以及主要能源资源利用系统情况。</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（2）能源资源管理状况</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审阅公共机构能源管理文件，核查公共机构能源资源管理的机构及职责、制度建设及执行情况、能源资源管理的成效与问题。</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（3）能源资源计量及统计状况</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审计能源计量范围、计量器具的配置、计量器具的管理、能源资源统计的内容和数据汇总计算等，基于审计过程中收集的信息，对被审计公共机构向公共机构能源资源消费统计信息系统填报的数据进行校核更新</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说明公共机构能源资源计量体系成效与问题。</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（4）能源资源消费指标计算分析</w:t>
            </w:r>
          </w:p>
          <w:p>
            <w:pPr>
              <w:rPr>
                <w:rFonts w:hint="eastAsia" w:ascii="仿宋_GB2312" w:hAnsi="仿宋_GB2312" w:eastAsia="仿宋_GB2312" w:cs="仿宋_GB2312"/>
                <w:b w:val="0"/>
                <w:bCs/>
                <w:color w:val="auto"/>
                <w:sz w:val="24"/>
                <w:lang w:eastAsia="zh-CN"/>
              </w:rPr>
            </w:pPr>
            <w:r>
              <w:rPr>
                <w:rFonts w:hint="eastAsia" w:ascii="仿宋_GB2312" w:hAnsi="仿宋_GB2312" w:eastAsia="仿宋_GB2312" w:cs="仿宋_GB2312"/>
                <w:b w:val="0"/>
                <w:bCs/>
                <w:color w:val="auto"/>
                <w:sz w:val="24"/>
              </w:rPr>
              <w:t>审计公共机构能源资源消费的种类、来源及其流向，能源资源消费指标的构成与定义，计算数据来源，指标计算结果分析。按能源资源种类分析公共机构基准期至审计期各年度、月度实物消费量，分析公共机构能源资源消费年度变化趋势、季节变化因素和特点</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计算、分析建筑总能耗，将建筑能源消耗量统一折算为标准煤耗量，计算单位建筑面积能耗、人均能耗、人均水资源消耗等能源资源消费指标，并依据</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公共机构能耗定额</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DB45/T 2360-2021</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进行对标。</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w:t>
            </w:r>
            <w:r>
              <w:rPr>
                <w:rFonts w:hint="eastAsia" w:ascii="仿宋_GB2312" w:hAnsi="仿宋_GB2312" w:eastAsia="仿宋_GB2312" w:cs="仿宋_GB2312"/>
                <w:b/>
                <w:bCs w:val="0"/>
                <w:color w:val="auto"/>
                <w:sz w:val="24"/>
                <w:lang w:val="en-US" w:eastAsia="zh-CN"/>
              </w:rPr>
              <w:t>5</w:t>
            </w:r>
            <w:r>
              <w:rPr>
                <w:rFonts w:hint="eastAsia" w:ascii="仿宋_GB2312" w:hAnsi="仿宋_GB2312" w:eastAsia="仿宋_GB2312" w:cs="仿宋_GB2312"/>
                <w:b/>
                <w:bCs w:val="0"/>
                <w:color w:val="auto"/>
                <w:sz w:val="24"/>
              </w:rPr>
              <w:t>）</w:t>
            </w:r>
            <w:r>
              <w:rPr>
                <w:rFonts w:hint="eastAsia" w:ascii="仿宋_GB2312" w:hAnsi="仿宋_GB2312" w:eastAsia="仿宋_GB2312" w:cs="仿宋_GB2312"/>
                <w:b/>
                <w:bCs w:val="0"/>
                <w:color w:val="auto"/>
                <w:sz w:val="24"/>
                <w:lang w:val="en-US" w:eastAsia="zh-CN"/>
              </w:rPr>
              <w:t>主要用能系统现场测试</w:t>
            </w:r>
          </w:p>
          <w:p>
            <w:pPr>
              <w:ind w:firstLine="0" w:firstLineChars="0"/>
              <w:rPr>
                <w:rFonts w:hint="eastAsia" w:ascii="仿宋_GB2312" w:hAnsi="仿宋_GB2312" w:eastAsia="仿宋_GB2312" w:cs="仿宋_GB2312"/>
                <w:b w:val="0"/>
                <w:bCs/>
                <w:color w:val="auto"/>
                <w:sz w:val="24"/>
                <w:lang w:val="en-US"/>
              </w:rPr>
            </w:pPr>
            <w:r>
              <w:rPr>
                <w:rFonts w:hint="eastAsia" w:ascii="仿宋_GB2312" w:hAnsi="仿宋_GB2312" w:eastAsia="仿宋_GB2312" w:cs="仿宋_GB2312"/>
                <w:b w:val="0"/>
                <w:bCs/>
                <w:color w:val="auto"/>
                <w:sz w:val="24"/>
              </w:rPr>
              <w:t>开展</w:t>
            </w:r>
            <w:r>
              <w:rPr>
                <w:rFonts w:hint="eastAsia" w:ascii="仿宋_GB2312" w:hAnsi="仿宋_GB2312" w:eastAsia="仿宋_GB2312" w:cs="仿宋_GB2312"/>
                <w:b w:val="0"/>
                <w:bCs/>
                <w:color w:val="auto"/>
                <w:sz w:val="24"/>
                <w:lang w:val="en-US" w:eastAsia="zh-CN"/>
              </w:rPr>
              <w:t>公共机构</w:t>
            </w:r>
            <w:r>
              <w:rPr>
                <w:rFonts w:hint="eastAsia" w:ascii="仿宋_GB2312" w:hAnsi="仿宋_GB2312" w:eastAsia="仿宋_GB2312" w:cs="仿宋_GB2312"/>
                <w:b w:val="0"/>
                <w:bCs/>
                <w:color w:val="auto"/>
                <w:sz w:val="24"/>
              </w:rPr>
              <w:t>建筑室内环境及主要能源资源利用系统</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空调系统、照明系统等</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性能现场测试</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分别对建筑内不同功能、有代表性的房间或区域至少</w:t>
            </w:r>
            <w:r>
              <w:rPr>
                <w:rFonts w:hint="eastAsia" w:ascii="仿宋_GB2312" w:hAnsi="仿宋_GB2312" w:eastAsia="仿宋_GB2312" w:cs="仿宋_GB2312"/>
                <w:b w:val="0"/>
                <w:bCs/>
                <w:color w:val="auto"/>
                <w:sz w:val="24"/>
                <w:lang w:val="en-US" w:eastAsia="zh-CN"/>
              </w:rPr>
              <w:t>十</w:t>
            </w:r>
            <w:r>
              <w:rPr>
                <w:rFonts w:hint="eastAsia" w:ascii="仿宋_GB2312" w:hAnsi="仿宋_GB2312" w:eastAsia="仿宋_GB2312" w:cs="仿宋_GB2312"/>
                <w:b w:val="0"/>
                <w:bCs/>
                <w:color w:val="auto"/>
                <w:sz w:val="24"/>
              </w:rPr>
              <w:t>处</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在正常使用情况下的建筑室内环境品质进行检测，检测内容包括</w:t>
            </w:r>
            <w:r>
              <w:rPr>
                <w:rFonts w:hint="eastAsia" w:ascii="仿宋_GB2312" w:hAnsi="仿宋_GB2312" w:eastAsia="仿宋_GB2312" w:cs="仿宋_GB2312"/>
                <w:b w:val="0"/>
                <w:bCs/>
                <w:color w:val="auto"/>
                <w:sz w:val="24"/>
                <w:lang w:val="en-US" w:eastAsia="zh-CN"/>
              </w:rPr>
              <w:t>但不限于</w:t>
            </w:r>
            <w:r>
              <w:rPr>
                <w:rFonts w:hint="eastAsia" w:ascii="仿宋_GB2312" w:hAnsi="仿宋_GB2312" w:eastAsia="仿宋_GB2312" w:cs="仿宋_GB2312"/>
                <w:b w:val="0"/>
                <w:bCs/>
                <w:color w:val="auto"/>
                <w:sz w:val="24"/>
              </w:rPr>
              <w:t>室内温度、相对湿度、二氧化碳浓度、照度等；还应评判检测区域的室内环境品质是否符合国家、行业或本市现行标准中的相关规定</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针对水基中央空调系统，在标准运行状态下，检测主机（系统）运行情况，包括但不限于进出水温度、流量、实时功率、风机盘管风量及流量、耗电量等参数，对中央空调系统能效进行评估。</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w:t>
            </w:r>
            <w:r>
              <w:rPr>
                <w:rFonts w:hint="eastAsia" w:ascii="仿宋_GB2312" w:hAnsi="仿宋_GB2312" w:eastAsia="仿宋_GB2312" w:cs="仿宋_GB2312"/>
                <w:b/>
                <w:bCs w:val="0"/>
                <w:color w:val="auto"/>
                <w:sz w:val="24"/>
                <w:lang w:val="en-US" w:eastAsia="zh-CN"/>
              </w:rPr>
              <w:t>6</w:t>
            </w:r>
            <w:r>
              <w:rPr>
                <w:rFonts w:hint="eastAsia" w:ascii="仿宋_GB2312" w:hAnsi="仿宋_GB2312" w:eastAsia="仿宋_GB2312" w:cs="仿宋_GB2312"/>
                <w:b/>
                <w:bCs w:val="0"/>
                <w:color w:val="auto"/>
                <w:sz w:val="24"/>
              </w:rPr>
              <w:t>）建筑及主要能源资源利用系统分析</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rPr>
              <w:t>审计公共机构主要能源资源利用系统构成、设备配置与运行情况，</w:t>
            </w:r>
            <w:r>
              <w:rPr>
                <w:rFonts w:hint="eastAsia" w:ascii="仿宋_GB2312" w:hAnsi="仿宋_GB2312" w:eastAsia="仿宋_GB2312" w:cs="仿宋_GB2312"/>
                <w:b w:val="0"/>
                <w:bCs/>
                <w:color w:val="auto"/>
                <w:sz w:val="24"/>
                <w:lang w:val="en-US" w:eastAsia="zh-CN"/>
              </w:rPr>
              <w:t>根据</w:t>
            </w:r>
            <w:r>
              <w:rPr>
                <w:rFonts w:hint="eastAsia" w:ascii="仿宋_GB2312" w:hAnsi="仿宋_GB2312" w:eastAsia="仿宋_GB2312" w:cs="仿宋_GB2312"/>
                <w:b w:val="0"/>
                <w:bCs/>
                <w:color w:val="auto"/>
                <w:sz w:val="24"/>
              </w:rPr>
              <w:t>现场测试</w:t>
            </w:r>
            <w:r>
              <w:rPr>
                <w:rFonts w:hint="eastAsia" w:ascii="仿宋_GB2312" w:hAnsi="仿宋_GB2312" w:eastAsia="仿宋_GB2312" w:cs="仿宋_GB2312"/>
                <w:b w:val="0"/>
                <w:bCs/>
                <w:color w:val="auto"/>
                <w:sz w:val="24"/>
                <w:lang w:val="en-US" w:eastAsia="zh-CN"/>
              </w:rPr>
              <w:t>情况</w:t>
            </w:r>
            <w:r>
              <w:rPr>
                <w:rFonts w:hint="eastAsia" w:ascii="仿宋_GB2312" w:hAnsi="仿宋_GB2312" w:eastAsia="仿宋_GB2312" w:cs="仿宋_GB2312"/>
                <w:b w:val="0"/>
                <w:bCs/>
                <w:color w:val="auto"/>
                <w:sz w:val="24"/>
              </w:rPr>
              <w:t>，分析系统存在问题。审计范围包括：建筑围护结构、供暖系统、空调系统、供配电系统、照明系统、用水系统、车辆交通系统以及电梯、食堂、信息机房等其他附属设施用能系统</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针对空调系统、照明系统等重点系统做专项分析评价。</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w:t>
            </w:r>
            <w:r>
              <w:rPr>
                <w:rFonts w:hint="eastAsia" w:ascii="仿宋_GB2312" w:hAnsi="仿宋_GB2312" w:eastAsia="仿宋_GB2312" w:cs="仿宋_GB2312"/>
                <w:b/>
                <w:bCs w:val="0"/>
                <w:color w:val="auto"/>
                <w:sz w:val="24"/>
                <w:lang w:val="en-US" w:eastAsia="zh-CN"/>
              </w:rPr>
              <w:t>7</w:t>
            </w:r>
            <w:r>
              <w:rPr>
                <w:rFonts w:hint="eastAsia" w:ascii="仿宋_GB2312" w:hAnsi="仿宋_GB2312" w:eastAsia="仿宋_GB2312" w:cs="仿宋_GB2312"/>
                <w:b/>
                <w:bCs w:val="0"/>
                <w:color w:val="auto"/>
                <w:sz w:val="24"/>
              </w:rPr>
              <w:t>）绿色发展专项检查</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rPr>
              <w:t>对自然采光、空调温度设置、绿色采购、无纸化办公、新能源公务车等行为节约情况进行检查；对生活垃圾分类、再生用品使用、塑料污染治理、通用资产周转等资源循环利用情况进行检查</w:t>
            </w:r>
            <w:r>
              <w:rPr>
                <w:rFonts w:hint="eastAsia" w:ascii="仿宋_GB2312" w:hAnsi="仿宋_GB2312" w:eastAsia="仿宋_GB2312" w:cs="仿宋_GB2312"/>
                <w:b w:val="0"/>
                <w:bCs/>
                <w:color w:val="auto"/>
                <w:sz w:val="24"/>
                <w:lang w:eastAsia="zh-CN"/>
              </w:rPr>
              <w:t>。</w:t>
            </w:r>
          </w:p>
          <w:p>
            <w:pPr>
              <w:rPr>
                <w:rFonts w:hint="eastAsia" w:ascii="仿宋_GB2312" w:hAnsi="仿宋_GB2312" w:eastAsia="仿宋_GB2312" w:cs="仿宋_GB2312"/>
                <w:b/>
                <w:bCs w:val="0"/>
                <w:color w:val="auto"/>
                <w:sz w:val="24"/>
                <w:lang w:val="en-US" w:eastAsia="zh-CN"/>
              </w:rPr>
            </w:pPr>
            <w:r>
              <w:rPr>
                <w:rFonts w:hint="eastAsia" w:ascii="仿宋_GB2312" w:hAnsi="仿宋_GB2312" w:eastAsia="仿宋_GB2312" w:cs="仿宋_GB2312"/>
                <w:b/>
                <w:bCs w:val="0"/>
                <w:color w:val="auto"/>
                <w:sz w:val="24"/>
              </w:rPr>
              <w:t>（</w:t>
            </w:r>
            <w:r>
              <w:rPr>
                <w:rFonts w:hint="eastAsia" w:ascii="仿宋_GB2312" w:hAnsi="仿宋_GB2312" w:eastAsia="仿宋_GB2312" w:cs="仿宋_GB2312"/>
                <w:b/>
                <w:bCs w:val="0"/>
                <w:color w:val="auto"/>
                <w:sz w:val="24"/>
                <w:lang w:val="en-US" w:eastAsia="zh-CN"/>
              </w:rPr>
              <w:t>8</w:t>
            </w:r>
            <w:r>
              <w:rPr>
                <w:rFonts w:hint="eastAsia" w:ascii="仿宋_GB2312" w:hAnsi="仿宋_GB2312" w:eastAsia="仿宋_GB2312" w:cs="仿宋_GB2312"/>
                <w:b/>
                <w:bCs w:val="0"/>
                <w:color w:val="auto"/>
                <w:sz w:val="24"/>
              </w:rPr>
              <w:t>）节能效果与节能潜力分析</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审计公共机构实施节能技改项目已取得的成效，对公共机构基准期至审计期内完成的节能技改项目进行汇总分析，核算节能技改项目已取得的效果（节能量、减排指标）。确定比较基准值，计算公共机构审计期的节能量和节能率，并对公共机构节能指标的分解、完成情况进行对比分析。分析节能途径与潜力，提出节能改造建议方案。结合公共机构能源资源消费情况、能源资源利用系统存在问题，全面分析公共机构可利用能源资源基础条件，测算公共机构节能潜力，并从管理、技术两个途径提出合理的节能改造建议方案</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侧重从技术途经，对公共机构的空调、照明系统等提出有针对性和可行性的专业节能改造建议。</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w:t>
            </w:r>
            <w:r>
              <w:rPr>
                <w:rFonts w:hint="eastAsia" w:ascii="仿宋_GB2312" w:hAnsi="仿宋_GB2312" w:eastAsia="仿宋_GB2312" w:cs="仿宋_GB2312"/>
                <w:b/>
                <w:bCs w:val="0"/>
                <w:color w:val="auto"/>
                <w:sz w:val="24"/>
                <w:lang w:val="en-US" w:eastAsia="zh-CN"/>
              </w:rPr>
              <w:t>9</w:t>
            </w:r>
            <w:r>
              <w:rPr>
                <w:rFonts w:hint="eastAsia" w:ascii="仿宋_GB2312" w:hAnsi="仿宋_GB2312" w:eastAsia="仿宋_GB2312" w:cs="仿宋_GB2312"/>
                <w:b/>
                <w:bCs w:val="0"/>
                <w:color w:val="auto"/>
                <w:sz w:val="24"/>
              </w:rPr>
              <w:t>）编制能源审计报告</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能源审计报告应符合《公共机构能源审计技术导则》（GB/T 31342-2014）要求</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报告除常规内容外，可针对公共机构能耗占比较大的空调系统、照明系统等提出专项改造方案。</w:t>
            </w:r>
            <w:r>
              <w:rPr>
                <w:rFonts w:hint="eastAsia" w:ascii="仿宋_GB2312" w:hAnsi="仿宋_GB2312" w:eastAsia="仿宋_GB2312" w:cs="仿宋_GB2312"/>
                <w:b w:val="0"/>
                <w:bCs/>
                <w:color w:val="auto"/>
                <w:sz w:val="24"/>
              </w:rPr>
              <w:t>能源审计服务机构形成的能源审计报告应当书面征求被审计公共机构意见，被审计公共机构应当自接到能源审计报告之日起10个工作日内，提出书面意见；能源审计服务机构要进一步核实情况，对审计报告做相应修改，送达采购人和被审计公共机构。</w:t>
            </w:r>
          </w:p>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四、能源审计工作要求</w:t>
            </w:r>
          </w:p>
          <w:p>
            <w:pPr>
              <w:rPr>
                <w:rFonts w:hint="eastAsia" w:ascii="仿宋_GB2312" w:hAnsi="仿宋_GB2312" w:eastAsia="仿宋_GB2312" w:cs="仿宋_GB2312"/>
                <w:color w:val="auto"/>
                <w:sz w:val="24"/>
              </w:rPr>
            </w:pPr>
            <w:r>
              <w:rPr>
                <w:rFonts w:hint="eastAsia" w:ascii="仿宋_GB2312" w:hAnsi="仿宋_GB2312" w:eastAsia="仿宋_GB2312" w:cs="仿宋_GB2312"/>
                <w:b w:val="0"/>
                <w:bCs/>
                <w:color w:val="auto"/>
                <w:sz w:val="24"/>
              </w:rPr>
              <w:t>1</w:t>
            </w:r>
            <w:r>
              <w:rPr>
                <w:rFonts w:hint="eastAsia" w:ascii="仿宋_GB2312" w:hAnsi="仿宋_GB2312" w:eastAsia="仿宋_GB2312" w:cs="仿宋_GB2312"/>
                <w:b w:val="0"/>
                <w:bCs/>
                <w:color w:val="auto"/>
                <w:sz w:val="24"/>
                <w:lang w:val="en-US" w:eastAsia="zh-CN"/>
              </w:rPr>
              <w:t>.</w:t>
            </w:r>
            <w:r>
              <w:rPr>
                <w:rFonts w:hint="eastAsia" w:ascii="仿宋_GB2312" w:hAnsi="仿宋_GB2312" w:eastAsia="仿宋_GB2312" w:cs="仿宋_GB2312"/>
                <w:b w:val="0"/>
                <w:bCs/>
                <w:color w:val="auto"/>
                <w:sz w:val="24"/>
              </w:rPr>
              <w:t>审计服务期限：</w:t>
            </w:r>
            <w:r>
              <w:rPr>
                <w:rFonts w:hint="eastAsia" w:ascii="仿宋_GB2312" w:hAnsi="仿宋_GB2312" w:eastAsia="仿宋_GB2312" w:cs="仿宋_GB2312"/>
                <w:bCs/>
                <w:color w:val="auto"/>
                <w:sz w:val="24"/>
                <w:lang w:val="en-US" w:eastAsia="zh-CN"/>
              </w:rPr>
              <w:t>45</w:t>
            </w:r>
            <w:r>
              <w:rPr>
                <w:rFonts w:hint="eastAsia" w:ascii="仿宋_GB2312" w:hAnsi="仿宋_GB2312" w:eastAsia="仿宋_GB2312" w:cs="仿宋_GB2312"/>
                <w:bCs/>
                <w:color w:val="auto"/>
                <w:sz w:val="24"/>
              </w:rPr>
              <w:t>个工作日</w:t>
            </w:r>
            <w:r>
              <w:rPr>
                <w:rFonts w:hint="eastAsia" w:ascii="仿宋_GB2312" w:hAnsi="仿宋_GB2312" w:eastAsia="仿宋_GB2312" w:cs="仿宋_GB2312"/>
                <w:color w:val="auto"/>
                <w:sz w:val="24"/>
              </w:rPr>
              <w:t>。</w:t>
            </w:r>
          </w:p>
          <w:p>
            <w:pPr>
              <w:rPr>
                <w:rFonts w:hint="eastAsia" w:ascii="仿宋_GB2312" w:hAnsi="仿宋_GB2312" w:eastAsia="仿宋_GB2312" w:cs="仿宋_GB2312"/>
                <w:bCs/>
                <w:color w:val="auto"/>
                <w:sz w:val="24"/>
              </w:rPr>
            </w:pPr>
            <w:r>
              <w:rPr>
                <w:rFonts w:hint="eastAsia" w:ascii="仿宋_GB2312" w:hAnsi="仿宋_GB2312" w:eastAsia="仿宋_GB2312" w:cs="仿宋_GB2312"/>
                <w:b/>
                <w:color w:val="auto"/>
                <w:sz w:val="24"/>
              </w:rPr>
              <w:t>2.</w:t>
            </w:r>
            <w:r>
              <w:rPr>
                <w:rFonts w:hint="eastAsia" w:ascii="仿宋_GB2312" w:hAnsi="仿宋_GB2312" w:eastAsia="仿宋_GB2312" w:cs="仿宋_GB2312"/>
                <w:b/>
                <w:bCs w:val="0"/>
                <w:color w:val="auto"/>
                <w:sz w:val="24"/>
              </w:rPr>
              <w:t>项目人员配置最低要求</w:t>
            </w:r>
            <w:r>
              <w:rPr>
                <w:rFonts w:hint="eastAsia" w:ascii="仿宋_GB2312" w:hAnsi="仿宋_GB2312" w:eastAsia="仿宋_GB2312" w:cs="仿宋_GB2312"/>
                <w:b/>
                <w:bCs w:val="0"/>
                <w:color w:val="auto"/>
                <w:sz w:val="24"/>
                <w:lang w:eastAsia="zh-CN"/>
              </w:rPr>
              <w:t>：</w:t>
            </w:r>
            <w:r>
              <w:rPr>
                <w:rFonts w:hint="eastAsia" w:ascii="仿宋_GB2312" w:hAnsi="仿宋_GB2312" w:eastAsia="仿宋_GB2312" w:cs="仿宋_GB2312"/>
                <w:b w:val="0"/>
                <w:bCs/>
                <w:color w:val="auto"/>
                <w:sz w:val="24"/>
              </w:rPr>
              <w:t>为保障本项目能源审计工作专业、规范、高质量落地，供应商中标后进场实施须满足以下人员配置标准，为本项目实质性履约要求：</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1</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项目团队最低配置：本项目配备的项目负责人须至少具有副高级及以上技术职称证书；</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2</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明确拟派本项目的审计人员名单，项目核心实施人员全程稳定在岗，未经采购人书面同意不得擅自更换；确因不可抗力需要更换的，替换人员专业资质、从业经验、技术能力不得低于原派驻人员标准；</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3</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供应商须在投标文件中对本条款人员配置要求作出正式响应承诺；</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4</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中标公示结束后、合同签订前，采购人有权对中标供应商拟派团队人员资质、履历进行核验，不满足本配置要求的，视为履约条件不达标，采购人有权不予签订合同。</w:t>
            </w:r>
          </w:p>
          <w:p>
            <w:pPr>
              <w:rPr>
                <w:rFonts w:hint="eastAsia" w:ascii="仿宋_GB2312" w:hAnsi="仿宋_GB2312" w:eastAsia="仿宋_GB2312" w:cs="仿宋_GB2312"/>
                <w:bCs/>
                <w:color w:val="auto"/>
                <w:sz w:val="24"/>
              </w:rPr>
            </w:pPr>
            <w:r>
              <w:rPr>
                <w:rFonts w:hint="eastAsia" w:ascii="仿宋_GB2312" w:hAnsi="仿宋_GB2312" w:eastAsia="仿宋_GB2312" w:cs="仿宋_GB2312"/>
                <w:b/>
                <w:color w:val="auto"/>
                <w:sz w:val="24"/>
              </w:rPr>
              <w:t>3.</w:t>
            </w:r>
            <w:r>
              <w:rPr>
                <w:rFonts w:hint="eastAsia" w:ascii="仿宋_GB2312" w:hAnsi="仿宋_GB2312" w:eastAsia="仿宋_GB2312" w:cs="仿宋_GB2312"/>
                <w:color w:val="auto"/>
                <w:sz w:val="24"/>
              </w:rPr>
              <w:t>开展审计工作前，成交供应商应根据公共机构能源审计项目的具体情况，</w:t>
            </w:r>
            <w:r>
              <w:rPr>
                <w:rFonts w:hint="eastAsia" w:ascii="仿宋_GB2312" w:hAnsi="仿宋_GB2312" w:eastAsia="仿宋_GB2312" w:cs="仿宋_GB2312"/>
                <w:bCs/>
                <w:color w:val="auto"/>
                <w:sz w:val="24"/>
              </w:rPr>
              <w:t>提供项目实施方案（包括对项目的理解和认识、关键点和难点分析、项目实施人员组成，完成时间计划安排及解决方案的可操作性等内容）。</w:t>
            </w:r>
          </w:p>
          <w:p>
            <w:pPr>
              <w:jc w:val="left"/>
              <w:rPr>
                <w:rFonts w:hint="eastAsia" w:ascii="仿宋_GB2312" w:hAnsi="仿宋_GB2312" w:eastAsia="仿宋_GB2312" w:cs="仿宋_GB2312"/>
                <w:bCs/>
                <w:color w:val="auto"/>
                <w:sz w:val="24"/>
              </w:rPr>
            </w:pPr>
            <w:r>
              <w:rPr>
                <w:rFonts w:hint="eastAsia" w:ascii="仿宋_GB2312" w:hAnsi="仿宋_GB2312" w:eastAsia="仿宋_GB2312" w:cs="仿宋_GB2312"/>
                <w:b/>
                <w:color w:val="auto"/>
                <w:sz w:val="24"/>
              </w:rPr>
              <w:t>4.</w:t>
            </w:r>
            <w:r>
              <w:rPr>
                <w:rFonts w:hint="eastAsia" w:ascii="仿宋_GB2312" w:hAnsi="仿宋_GB2312" w:eastAsia="仿宋_GB2312" w:cs="仿宋_GB2312"/>
                <w:bCs/>
                <w:color w:val="auto"/>
                <w:sz w:val="24"/>
              </w:rPr>
              <w:t>深入调查研究，认真开展能源审计工作，</w:t>
            </w:r>
            <w:r>
              <w:rPr>
                <w:rFonts w:hint="eastAsia" w:ascii="仿宋_GB2312" w:hAnsi="仿宋_GB2312" w:eastAsia="仿宋_GB2312" w:cs="仿宋_GB2312"/>
                <w:color w:val="auto"/>
                <w:sz w:val="24"/>
              </w:rPr>
              <w:t>分析审计期内项目各项能源资源消耗数据，</w:t>
            </w:r>
            <w:r>
              <w:rPr>
                <w:rFonts w:hint="eastAsia" w:ascii="仿宋_GB2312" w:hAnsi="仿宋_GB2312" w:eastAsia="仿宋_GB2312" w:cs="仿宋_GB2312"/>
                <w:bCs/>
                <w:color w:val="auto"/>
                <w:sz w:val="24"/>
              </w:rPr>
              <w:t>并在完成能源审计工作的基础上对采购人提出提高能源效率的合理化建议。</w:t>
            </w:r>
          </w:p>
          <w:p>
            <w:pPr>
              <w:jc w:val="left"/>
              <w:rPr>
                <w:rFonts w:hint="eastAsia" w:ascii="仿宋_GB2312" w:hAnsi="仿宋_GB2312" w:eastAsia="仿宋_GB2312" w:cs="仿宋_GB2312"/>
                <w:bCs/>
                <w:color w:val="auto"/>
                <w:sz w:val="24"/>
              </w:rPr>
            </w:pPr>
            <w:r>
              <w:rPr>
                <w:rFonts w:hint="eastAsia" w:ascii="仿宋_GB2312" w:hAnsi="仿宋_GB2312" w:eastAsia="仿宋_GB2312" w:cs="仿宋_GB2312"/>
                <w:b/>
                <w:bCs/>
                <w:color w:val="auto"/>
                <w:sz w:val="24"/>
              </w:rPr>
              <w:t>5.</w:t>
            </w:r>
            <w:r>
              <w:rPr>
                <w:rFonts w:hint="eastAsia" w:ascii="仿宋_GB2312" w:hAnsi="仿宋_GB2312" w:eastAsia="仿宋_GB2312" w:cs="仿宋_GB2312"/>
                <w:bCs/>
                <w:color w:val="auto"/>
                <w:sz w:val="24"/>
              </w:rPr>
              <w:t>审计报告文件提交份数：每项成果（包括公共机构能源审计报告）一式</w:t>
            </w:r>
            <w:r>
              <w:rPr>
                <w:rFonts w:hint="eastAsia" w:ascii="仿宋_GB2312" w:hAnsi="仿宋_GB2312" w:eastAsia="仿宋_GB2312" w:cs="仿宋_GB2312"/>
                <w:bCs/>
                <w:color w:val="auto"/>
                <w:sz w:val="24"/>
                <w:lang w:val="en-US" w:eastAsia="zh-CN"/>
              </w:rPr>
              <w:t>6</w:t>
            </w:r>
            <w:r>
              <w:rPr>
                <w:rFonts w:hint="eastAsia" w:ascii="仿宋_GB2312" w:hAnsi="仿宋_GB2312" w:eastAsia="仿宋_GB2312" w:cs="仿宋_GB2312"/>
                <w:bCs/>
                <w:color w:val="auto"/>
                <w:sz w:val="24"/>
              </w:rPr>
              <w:t>份，PDF格式电子版一份。</w:t>
            </w:r>
          </w:p>
        </w:tc>
        <w:tc>
          <w:tcPr>
            <w:tcW w:w="853"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center"/>
              <w:rPr>
                <w:rFonts w:hint="eastAsia" w:ascii="仿宋" w:hAnsi="仿宋" w:eastAsia="仿宋" w:cs="仿宋"/>
                <w:color w:val="auto"/>
                <w:sz w:val="24"/>
              </w:rPr>
            </w:pPr>
            <w:r>
              <w:rPr>
                <w:rFonts w:hint="eastAsia" w:ascii="仿宋" w:hAnsi="仿宋" w:eastAsia="仿宋" w:cs="仿宋"/>
                <w:color w:val="auto"/>
                <w:sz w:val="24"/>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7"/>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仿宋_GB2312" w:eastAsia="仿宋_GB2312" w:cs="仿宋_GB2312"/>
                <w:color w:val="auto"/>
                <w:sz w:val="24"/>
              </w:rPr>
            </w:pPr>
            <w:r>
              <w:rPr>
                <w:rFonts w:hint="eastAsia" w:ascii="仿宋_GB2312" w:hAnsi="仿宋_GB2312" w:eastAsia="仿宋_GB2312" w:cs="仿宋_GB2312"/>
                <w:b/>
                <w:color w:val="auto"/>
                <w:sz w:val="24"/>
                <w:lang w:val="en-US" w:eastAsia="zh-CN"/>
              </w:rPr>
              <w:t>二</w:t>
            </w:r>
            <w:r>
              <w:rPr>
                <w:rFonts w:hint="eastAsia" w:ascii="仿宋_GB2312" w:hAnsi="仿宋_GB2312" w:eastAsia="仿宋_GB2312" w:cs="仿宋_GB2312"/>
                <w:b/>
                <w:color w:val="auto"/>
                <w:sz w:val="24"/>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报价要求</w:t>
            </w:r>
          </w:p>
        </w:tc>
        <w:tc>
          <w:tcPr>
            <w:tcW w:w="7763"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报价必须包含本项目实施所需全部费用，包含但不限于：</w:t>
            </w:r>
          </w:p>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1.投标报价、利润及风险由供应商自行考虑（包括柳州市人民政府调整最低工资标准后，按实际情况增加人工费及相应保险费用）；</w:t>
            </w:r>
          </w:p>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2.成交供应商须按照国家及省市的相关规定为拟投入本项目人员统一办理失业保险、医疗保险、社会保险和人员意外伤害等保险并承担相关费用。</w:t>
            </w:r>
          </w:p>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3.成交供应商须承担拟投入本项目人员工资、法定社保及福利、管理费、税费等相关费用。</w:t>
            </w:r>
          </w:p>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w:t>
            </w:r>
            <w:r>
              <w:rPr>
                <w:rFonts w:hint="eastAsia" w:ascii="仿宋_GB2312" w:hAnsi="仿宋_GB2312" w:eastAsia="仿宋_GB2312" w:cs="仿宋_GB2312"/>
                <w:color w:val="auto"/>
                <w:sz w:val="24"/>
                <w:lang w:val="en-US" w:eastAsia="zh-CN"/>
              </w:rPr>
              <w:t>.</w:t>
            </w:r>
            <w:r>
              <w:rPr>
                <w:rFonts w:hint="eastAsia" w:ascii="仿宋_GB2312" w:eastAsia="仿宋_GB2312"/>
                <w:color w:val="auto"/>
                <w:sz w:val="24"/>
              </w:rPr>
              <w:t>税费由成交供应商按国家规定依法缴纳。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服务期限</w:t>
            </w:r>
          </w:p>
        </w:tc>
        <w:tc>
          <w:tcPr>
            <w:tcW w:w="7763"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服务期限为</w:t>
            </w:r>
            <w:r>
              <w:rPr>
                <w:rFonts w:hint="eastAsia" w:ascii="仿宋_GB2312" w:hAnsi="仿宋_GB2312" w:eastAsia="仿宋_GB2312" w:cs="仿宋_GB2312"/>
                <w:color w:val="auto"/>
                <w:sz w:val="24"/>
                <w:lang w:val="en-US" w:eastAsia="zh-CN"/>
              </w:rPr>
              <w:t>45</w:t>
            </w:r>
            <w:r>
              <w:rPr>
                <w:rFonts w:hint="eastAsia" w:ascii="仿宋_GB2312" w:hAnsi="仿宋_GB2312" w:eastAsia="仿宋_GB2312" w:cs="仿宋_GB2312"/>
                <w:color w:val="auto"/>
                <w:sz w:val="24"/>
                <w:u w:val="single"/>
              </w:rPr>
              <w:t>个工作日</w:t>
            </w:r>
            <w:r>
              <w:rPr>
                <w:rFonts w:hint="eastAsia" w:ascii="仿宋_GB2312" w:hAnsi="仿宋_GB2312" w:eastAsia="仿宋_GB2312" w:cs="仿宋_GB2312"/>
                <w:color w:val="auto"/>
                <w:sz w:val="24"/>
              </w:rPr>
              <w:t>，以合同约定日期为准。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售后服务要求</w:t>
            </w:r>
          </w:p>
        </w:tc>
        <w:tc>
          <w:tcPr>
            <w:tcW w:w="7763"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处理问题响应时间：接到通知后</w:t>
            </w:r>
            <w:r>
              <w:rPr>
                <w:rFonts w:hint="eastAsia" w:ascii="仿宋_GB2312" w:hAnsi="仿宋_GB2312" w:eastAsia="仿宋_GB2312" w:cs="仿宋_GB2312"/>
                <w:color w:val="auto"/>
                <w:sz w:val="24"/>
                <w:u w:val="single"/>
                <w:lang w:val="en-US" w:eastAsia="zh-CN"/>
              </w:rPr>
              <w:t>5</w:t>
            </w:r>
            <w:r>
              <w:rPr>
                <w:rFonts w:hint="eastAsia" w:ascii="仿宋_GB2312" w:hAnsi="仿宋_GB2312" w:eastAsia="仿宋_GB2312" w:cs="仿宋_GB2312"/>
                <w:color w:val="auto"/>
                <w:sz w:val="24"/>
              </w:rPr>
              <w:t>小时内到达采购人指定地点。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服务标准及要求</w:t>
            </w:r>
          </w:p>
        </w:tc>
        <w:tc>
          <w:tcPr>
            <w:tcW w:w="7763" w:type="dxa"/>
            <w:gridSpan w:val="4"/>
            <w:tcBorders>
              <w:top w:val="single" w:color="auto" w:sz="4" w:space="0"/>
              <w:left w:val="single" w:color="auto" w:sz="4" w:space="0"/>
              <w:right w:val="single" w:color="auto" w:sz="4" w:space="0"/>
            </w:tcBorders>
            <w:vAlign w:val="center"/>
          </w:tcPr>
          <w:p>
            <w:pP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1.严格执行国家、行业强制性标准及规范；</w:t>
            </w:r>
          </w:p>
          <w:p>
            <w:pPr>
              <w:spacing w:line="400" w:lineRule="exact"/>
              <w:rPr>
                <w:rFonts w:hint="eastAsia" w:ascii="仿宋_GB2312" w:hAnsi="仿宋_GB2312" w:eastAsia="仿宋_GB2312" w:cs="仿宋_GB2312"/>
                <w:bCs/>
                <w:color w:val="auto"/>
                <w:sz w:val="24"/>
              </w:rPr>
            </w:pPr>
            <w:r>
              <w:rPr>
                <w:rFonts w:hint="eastAsia" w:ascii="仿宋_GB2312" w:hAnsi="仿宋_GB2312" w:eastAsia="仿宋_GB2312" w:cs="仿宋_GB2312"/>
                <w:color w:val="auto"/>
                <w:sz w:val="24"/>
              </w:rPr>
              <w:t>2.满足本项目招标文件全部技术、服务要求及供应商投标响应承诺标准。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提供服务时间及地点</w:t>
            </w:r>
          </w:p>
        </w:tc>
        <w:tc>
          <w:tcPr>
            <w:tcW w:w="7763" w:type="dxa"/>
            <w:gridSpan w:val="4"/>
            <w:tcBorders>
              <w:top w:val="single" w:color="auto" w:sz="4" w:space="0"/>
              <w:left w:val="single" w:color="auto" w:sz="4" w:space="0"/>
              <w:right w:val="single" w:color="auto" w:sz="4" w:space="0"/>
            </w:tcBorders>
            <w:vAlign w:val="center"/>
          </w:tcPr>
          <w:p>
            <w:pPr>
              <w:spacing w:line="276"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1.提供服务时间：自合同约定提供服务之日起</w:t>
            </w:r>
            <w:r>
              <w:rPr>
                <w:rFonts w:hint="eastAsia" w:ascii="仿宋_GB2312" w:hAnsi="仿宋_GB2312" w:eastAsia="仿宋_GB2312" w:cs="仿宋_GB2312"/>
                <w:color w:val="auto"/>
                <w:sz w:val="24"/>
                <w:u w:val="single"/>
              </w:rPr>
              <w:t>5</w:t>
            </w:r>
            <w:r>
              <w:rPr>
                <w:rFonts w:hint="eastAsia" w:ascii="仿宋_GB2312" w:hAnsi="仿宋_GB2312" w:eastAsia="仿宋_GB2312" w:cs="仿宋_GB2312"/>
                <w:color w:val="auto"/>
                <w:sz w:val="24"/>
              </w:rPr>
              <w:t>日内办理好能源审计服务交接手续并提供服务；</w:t>
            </w:r>
          </w:p>
          <w:p>
            <w:pPr>
              <w:spacing w:line="276"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2.服务地点：广西柳州市（采购人指定地点）。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服务承包方式</w:t>
            </w:r>
          </w:p>
        </w:tc>
        <w:tc>
          <w:tcPr>
            <w:tcW w:w="7763" w:type="dxa"/>
            <w:gridSpan w:val="4"/>
            <w:tcBorders>
              <w:left w:val="single" w:color="auto" w:sz="4" w:space="0"/>
              <w:right w:val="single" w:color="auto" w:sz="4" w:space="0"/>
            </w:tcBorders>
            <w:vAlign w:val="center"/>
          </w:tcPr>
          <w:p>
            <w:pPr>
              <w:spacing w:line="276"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采用费用总包干制。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付款方式</w:t>
            </w:r>
          </w:p>
        </w:tc>
        <w:tc>
          <w:tcPr>
            <w:tcW w:w="7763" w:type="dxa"/>
            <w:gridSpan w:val="4"/>
            <w:tcBorders>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rPr>
              <w:t>财政性资金按财政国库集中支付规定程序办理。自服务成果验收合格之日起</w:t>
            </w:r>
            <w:r>
              <w:rPr>
                <w:rFonts w:hint="eastAsia" w:ascii="仿宋_GB2312" w:hAnsi="仿宋_GB2312" w:eastAsia="仿宋_GB2312" w:cs="仿宋_GB2312"/>
                <w:bCs/>
                <w:color w:val="auto"/>
                <w:sz w:val="24"/>
                <w:u w:val="single"/>
              </w:rPr>
              <w:t>30</w:t>
            </w:r>
            <w:r>
              <w:rPr>
                <w:rFonts w:hint="eastAsia" w:ascii="仿宋_GB2312" w:hAnsi="仿宋_GB2312" w:eastAsia="仿宋_GB2312" w:cs="仿宋_GB2312"/>
                <w:bCs/>
                <w:color w:val="auto"/>
                <w:sz w:val="24"/>
              </w:rPr>
              <w:t>日内，</w:t>
            </w:r>
            <w:r>
              <w:rPr>
                <w:rFonts w:hint="eastAsia" w:ascii="仿宋_GB2312" w:hAnsi="仿宋_GB2312" w:eastAsia="仿宋_GB2312" w:cs="仿宋_GB2312"/>
                <w:color w:val="auto"/>
                <w:sz w:val="24"/>
              </w:rPr>
              <w:t>由采购人按程序一次性付清合同价款（不计利息）。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知识产权要求</w:t>
            </w:r>
          </w:p>
        </w:tc>
        <w:tc>
          <w:tcPr>
            <w:tcW w:w="7763" w:type="dxa"/>
            <w:gridSpan w:val="4"/>
            <w:tcBorders>
              <w:left w:val="single" w:color="auto" w:sz="4" w:space="0"/>
              <w:right w:val="single" w:color="auto" w:sz="4" w:space="0"/>
            </w:tcBorders>
            <w:vAlign w:val="center"/>
          </w:tcPr>
          <w:p>
            <w:pPr>
              <w:spacing w:line="276"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供应商应保证竞标所涉及到的知识产权和所提供的相关技术资料是合法取得，并享有完整的知识产权，不会因知识产权问题被责令停止使用、追偿或要求赔偿损失，如出现此情况，一切经济和法律责任均由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541"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其他要求</w:t>
            </w:r>
          </w:p>
        </w:tc>
        <w:tc>
          <w:tcPr>
            <w:tcW w:w="7763" w:type="dxa"/>
            <w:gridSpan w:val="4"/>
            <w:tcBorders>
              <w:left w:val="single" w:color="auto" w:sz="4" w:space="0"/>
              <w:bottom w:val="single" w:color="auto" w:sz="4" w:space="0"/>
              <w:right w:val="single" w:color="auto" w:sz="4" w:space="0"/>
            </w:tcBorders>
            <w:vAlign w:val="center"/>
          </w:tcPr>
          <w:p>
            <w:pPr>
              <w:spacing w:line="276"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86" w:hRule="atLeast"/>
          <w:jc w:val="center"/>
        </w:trPr>
        <w:tc>
          <w:tcPr>
            <w:tcW w:w="9297" w:type="dxa"/>
            <w:gridSpan w:val="6"/>
            <w:tcBorders>
              <w:top w:val="single" w:color="auto" w:sz="4" w:space="0"/>
              <w:left w:val="single" w:color="auto" w:sz="4" w:space="0"/>
              <w:bottom w:val="single" w:color="auto" w:sz="4" w:space="0"/>
              <w:right w:val="single" w:color="auto" w:sz="4" w:space="0"/>
            </w:tcBorders>
            <w:vAlign w:val="center"/>
          </w:tcPr>
          <w:p>
            <w:pPr>
              <w:pStyle w:val="9"/>
              <w:snapToGrid w:val="0"/>
              <w:spacing w:line="400" w:lineRule="exact"/>
              <w:ind w:right="27" w:rightChars="13"/>
              <w:rPr>
                <w:rFonts w:hint="eastAsia" w:ascii="仿宋_GB2312" w:hAnsi="仿宋_GB2312" w:eastAsia="仿宋_GB2312" w:cs="仿宋_GB2312"/>
                <w:bCs/>
                <w:color w:val="auto"/>
                <w:sz w:val="24"/>
                <w:szCs w:val="24"/>
                <w:lang w:val="en-GB"/>
              </w:rPr>
            </w:pPr>
            <w:r>
              <w:rPr>
                <w:rFonts w:hint="eastAsia" w:ascii="仿宋_GB2312" w:hAnsi="仿宋_GB2312" w:eastAsia="仿宋_GB2312" w:cs="仿宋_GB2312"/>
                <w:b/>
                <w:bCs/>
                <w:color w:val="auto"/>
                <w:sz w:val="24"/>
                <w:szCs w:val="24"/>
              </w:rPr>
              <w:t>三、</w:t>
            </w:r>
            <w:r>
              <w:rPr>
                <w:rFonts w:hint="eastAsia" w:ascii="仿宋_GB2312" w:hAnsi="仿宋_GB2312" w:eastAsia="仿宋_GB2312" w:cs="仿宋_GB2312"/>
                <w:b/>
                <w:color w:val="auto"/>
                <w:sz w:val="24"/>
                <w:szCs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1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auto"/>
                <w:sz w:val="24"/>
                <w:lang w:val="en-GB"/>
              </w:rPr>
            </w:pPr>
            <w:r>
              <w:rPr>
                <w:rFonts w:hint="eastAsia" w:ascii="仿宋_GB2312" w:hAnsi="仿宋_GB2312" w:eastAsia="仿宋_GB2312" w:cs="仿宋_GB2312"/>
                <w:bCs/>
                <w:color w:val="auto"/>
                <w:sz w:val="24"/>
              </w:rPr>
              <w:t>验收标准及要求</w:t>
            </w:r>
          </w:p>
        </w:tc>
        <w:tc>
          <w:tcPr>
            <w:tcW w:w="7884"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rPr>
              <w:t>1.本项目验收严格遵照《中华人民共和国民法典》《公共机构能源审计管理暂行办法》《公共机构能源审计技术导则》（GB/T31342-2</w:t>
            </w:r>
            <w:r>
              <w:rPr>
                <w:rFonts w:hint="eastAsia" w:ascii="仿宋_GB2312" w:hAnsi="仿宋_GB2312" w:eastAsia="仿宋_GB2312" w:cs="仿宋_GB2312"/>
                <w:b w:val="0"/>
                <w:bCs/>
                <w:color w:val="auto"/>
                <w:sz w:val="24"/>
                <w:lang w:val="en-US" w:eastAsia="zh-CN"/>
              </w:rPr>
              <w:t>014</w:t>
            </w:r>
            <w:r>
              <w:rPr>
                <w:rFonts w:hint="eastAsia" w:ascii="仿宋_GB2312" w:hAnsi="仿宋_GB2312" w:eastAsia="仿宋_GB2312" w:cs="仿宋_GB2312"/>
                <w:b w:val="0"/>
                <w:bCs/>
                <w:color w:val="auto"/>
                <w:sz w:val="24"/>
              </w:rPr>
              <w:t>）及国家、地方相关行业标准执行，同时以本项目采购文件、响应文件、正式服务合同约定内容作为核心验收依据。</w:t>
            </w:r>
            <w:r>
              <w:rPr>
                <w:rFonts w:hint="eastAsia" w:ascii="仿宋_GB2312" w:hAnsi="仿宋_GB2312" w:eastAsia="仿宋_GB2312" w:cs="仿宋_GB2312"/>
                <w:b w:val="0"/>
                <w:bCs/>
                <w:color w:val="auto"/>
                <w:sz w:val="24"/>
              </w:rPr>
              <w:br w:type="textWrapping"/>
            </w:r>
            <w:r>
              <w:rPr>
                <w:rFonts w:hint="eastAsia" w:ascii="仿宋_GB2312" w:hAnsi="仿宋_GB2312" w:eastAsia="仿宋_GB2312" w:cs="仿宋_GB2312"/>
                <w:b w:val="0"/>
                <w:bCs/>
                <w:color w:val="auto"/>
                <w:sz w:val="24"/>
              </w:rPr>
              <w:t>2.</w:t>
            </w:r>
            <w:r>
              <w:rPr>
                <w:rFonts w:hint="eastAsia" w:ascii="仿宋_GB2312" w:hAnsi="仿宋_GB2312" w:eastAsia="仿宋_GB2312" w:cs="仿宋_GB2312"/>
                <w:b w:val="0"/>
                <w:bCs/>
                <w:color w:val="auto"/>
                <w:sz w:val="24"/>
                <w:lang w:eastAsia="zh-CN"/>
              </w:rPr>
              <w:t>采购人可以邀请</w:t>
            </w:r>
            <w:r>
              <w:rPr>
                <w:rFonts w:hint="eastAsia" w:ascii="仿宋_GB2312" w:hAnsi="仿宋_GB2312" w:eastAsia="仿宋_GB2312" w:cs="仿宋_GB2312"/>
                <w:b w:val="0"/>
                <w:bCs/>
                <w:color w:val="auto"/>
                <w:sz w:val="24"/>
              </w:rPr>
              <w:t>或委托具备相应资质的第三方专业机构开展验收工作</w:t>
            </w:r>
            <w:r>
              <w:rPr>
                <w:rFonts w:hint="eastAsia" w:ascii="仿宋_GB2312" w:hAnsi="仿宋_GB2312" w:eastAsia="仿宋_GB2312" w:cs="仿宋_GB2312"/>
                <w:b w:val="0"/>
                <w:bCs/>
                <w:color w:val="auto"/>
                <w:sz w:val="24"/>
                <w:lang w:eastAsia="zh-CN"/>
              </w:rPr>
              <w:t>。</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3.采购方在收到验收申请后的7个工作日内，组织验收小组或委托</w:t>
            </w:r>
            <w:r>
              <w:rPr>
                <w:rFonts w:hint="eastAsia" w:ascii="仿宋_GB2312" w:hAnsi="仿宋_GB2312" w:eastAsia="仿宋_GB2312" w:cs="仿宋_GB2312"/>
                <w:b w:val="0"/>
                <w:bCs/>
                <w:color w:val="auto"/>
                <w:sz w:val="24"/>
              </w:rPr>
              <w:t>具备相应资质</w:t>
            </w:r>
            <w:r>
              <w:rPr>
                <w:rFonts w:hint="eastAsia" w:ascii="仿宋_GB2312" w:hAnsi="仿宋_GB2312" w:eastAsia="仿宋_GB2312" w:cs="仿宋_GB2312"/>
                <w:b w:val="0"/>
                <w:bCs/>
                <w:color w:val="auto"/>
                <w:sz w:val="24"/>
                <w:lang w:val="en-US" w:eastAsia="zh-CN"/>
              </w:rPr>
              <w:t>第三方机构启动验收工作。</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4.验收过程中如发现成果存在缺项、数据错误、内容不符合要求等问题，将向成交供应商出具书面整改通知，成交供应商需在约定期限内完成整改并重新提交验收。</w:t>
            </w:r>
          </w:p>
          <w:p>
            <w:pPr>
              <w:rPr>
                <w:rFonts w:hint="eastAsia" w:ascii="仿宋_GB2312" w:hAnsi="仿宋_GB2312" w:eastAsia="仿宋_GB2312" w:cs="仿宋_GB2312"/>
                <w:bCs/>
                <w:color w:val="auto"/>
                <w:sz w:val="24"/>
                <w:lang w:eastAsia="zh-CN"/>
              </w:rPr>
            </w:pPr>
            <w:r>
              <w:rPr>
                <w:rFonts w:hint="eastAsia" w:ascii="仿宋_GB2312" w:hAnsi="仿宋_GB2312" w:eastAsia="仿宋_GB2312" w:cs="仿宋_GB2312"/>
                <w:b w:val="0"/>
                <w:bCs/>
                <w:color w:val="auto"/>
                <w:sz w:val="24"/>
                <w:lang w:val="en-US" w:eastAsia="zh-CN"/>
              </w:rPr>
              <w:t>5.成交供应商完成全部服务内容并通过验收后，向采购方提交全套审计成果资料。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10" w:hRule="atLeast"/>
          <w:jc w:val="center"/>
        </w:trPr>
        <w:tc>
          <w:tcPr>
            <w:tcW w:w="9297"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bCs/>
                <w:color w:val="auto"/>
                <w:kern w:val="2"/>
                <w:sz w:val="24"/>
                <w:szCs w:val="24"/>
                <w:lang w:val="en-US" w:eastAsia="zh-CN" w:bidi="ar-SA"/>
              </w:rPr>
              <w:t>四、其他要求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1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响应文件要求</w:t>
            </w:r>
          </w:p>
        </w:tc>
        <w:tc>
          <w:tcPr>
            <w:tcW w:w="7884"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4"/>
                <w:lang w:val="en-US" w:eastAsia="zh-CN"/>
              </w:rPr>
              <w:t>1.服务商为法人或者其他组织的提供其营业执照等证明文件（如营业执照或者事业</w:t>
            </w:r>
            <w:r>
              <w:rPr>
                <w:rFonts w:hint="eastAsia" w:ascii="仿宋_GB2312" w:hAnsi="仿宋_GB2312" w:eastAsia="仿宋_GB2312" w:cs="仿宋_GB2312"/>
                <w:b w:val="0"/>
                <w:bCs/>
                <w:color w:val="auto"/>
                <w:sz w:val="21"/>
                <w:szCs w:val="21"/>
                <w:lang w:val="en-US" w:eastAsia="zh-CN"/>
              </w:rPr>
              <w:t>单位法人证书等）。（必须提供，否则报价按无效响应处理）</w:t>
            </w:r>
          </w:p>
          <w:p>
            <w:pPr>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1"/>
                <w:szCs w:val="21"/>
                <w:lang w:val="en-US" w:eastAsia="zh-CN"/>
              </w:rPr>
              <w:t>2.服务商未被列入失信被执行人、重大税收违法案件当事人名单、政府采购严重违法失信行为记录名单，且符合《中华人民共和国政府采购法》第二十二条规定的资格条件。提供信用中国信用信息报告。（必须提供，否则报价按无效响应处理）</w:t>
            </w:r>
          </w:p>
          <w:p>
            <w:pPr>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1"/>
                <w:szCs w:val="21"/>
                <w:lang w:val="en-US" w:eastAsia="zh-CN"/>
              </w:rPr>
              <w:t>3.提供服务要求偏离表（格式后附）。（必须提供，否则报价按无效响应处理）</w:t>
            </w:r>
          </w:p>
          <w:p>
            <w:pPr>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1"/>
                <w:szCs w:val="21"/>
                <w:lang w:val="en-US" w:eastAsia="zh-CN"/>
              </w:rPr>
              <w:t>4.提供商务要求偏离表（格式后附）。（必须提供，否则报价按无效响应处理）</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1"/>
                <w:szCs w:val="21"/>
                <w:lang w:val="en-US" w:eastAsia="zh-CN"/>
              </w:rPr>
              <w:t>5.提供报价一览表（格式自拟）。（必须提供，否则报价按</w:t>
            </w:r>
            <w:r>
              <w:rPr>
                <w:rFonts w:hint="eastAsia" w:ascii="仿宋_GB2312" w:hAnsi="仿宋_GB2312" w:eastAsia="仿宋_GB2312" w:cs="仿宋_GB2312"/>
                <w:b w:val="0"/>
                <w:bCs/>
                <w:color w:val="auto"/>
                <w:sz w:val="24"/>
                <w:lang w:val="en-US" w:eastAsia="zh-CN"/>
              </w:rPr>
              <w:t>无效响应处理）</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6.提供参加本项目无围标串标行为的承诺函（格式自拟）。（必须提供，否则报价按无效响应处理）</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7.服务商认为需要提供的其他有关资料。</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8.以上标明“必须提供”的材料，必须加盖服务商公章，否则报价按无效响应处理。</w:t>
            </w:r>
          </w:p>
        </w:tc>
      </w:tr>
    </w:tbl>
    <w:p>
      <w:pPr>
        <w:spacing w:line="276" w:lineRule="auto"/>
        <w:jc w:val="left"/>
        <w:rPr>
          <w:rFonts w:hint="eastAsia" w:ascii="仿宋" w:hAnsi="仿宋" w:eastAsia="仿宋" w:cs="仿宋"/>
          <w:bCs/>
          <w:color w:val="auto"/>
          <w:sz w:val="24"/>
        </w:rPr>
        <w:sectPr>
          <w:footerReference r:id="rId3" w:type="default"/>
          <w:pgSz w:w="11906" w:h="16838"/>
          <w:pgMar w:top="2098" w:right="1474" w:bottom="1984" w:left="1587" w:header="851" w:footer="992" w:gutter="0"/>
          <w:pgNumType w:fmt="numberInDash" w:start="1"/>
          <w:cols w:space="425" w:num="1"/>
          <w:docGrid w:type="lines" w:linePitch="312" w:charSpace="0"/>
        </w:sectPr>
      </w:pPr>
    </w:p>
    <w:p>
      <w:pPr>
        <w:widowControl w:val="0"/>
        <w:jc w:val="center"/>
        <w:rPr>
          <w:rFonts w:hint="eastAsia" w:ascii="方正小标宋_GBK" w:hAnsi="方正小标宋_GBK" w:eastAsia="方正小标宋_GBK" w:cs="方正小标宋_GBK"/>
          <w:b w:val="0"/>
          <w:bCs w:val="0"/>
          <w:color w:val="auto"/>
          <w:kern w:val="2"/>
          <w:sz w:val="32"/>
          <w:szCs w:val="32"/>
          <w:lang w:val="en-US" w:eastAsia="zh-CN" w:bidi="ar-SA"/>
        </w:rPr>
      </w:pPr>
      <w:r>
        <w:rPr>
          <w:rFonts w:hint="eastAsia" w:ascii="方正小标宋_GBK" w:hAnsi="方正小标宋_GBK" w:eastAsia="方正小标宋_GBK" w:cs="方正小标宋_GBK"/>
          <w:b w:val="0"/>
          <w:bCs w:val="0"/>
          <w:color w:val="auto"/>
          <w:kern w:val="2"/>
          <w:sz w:val="32"/>
          <w:szCs w:val="32"/>
          <w:lang w:val="en-US" w:eastAsia="zh-CN" w:bidi="ar-SA"/>
        </w:rPr>
        <w:t>服务要求偏离表（必须提供）</w:t>
      </w:r>
    </w:p>
    <w:tbl>
      <w:tblPr>
        <w:tblStyle w:val="18"/>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4372"/>
        <w:gridCol w:w="1328"/>
        <w:gridCol w:w="1395"/>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760" w:type="dxa"/>
            <w:vAlign w:val="center"/>
          </w:tcPr>
          <w:p>
            <w:pPr>
              <w:rPr>
                <w:rFonts w:hint="eastAsia" w:ascii="仿宋_GB2312" w:hAnsi="仿宋_GB2312" w:eastAsia="仿宋_GB2312" w:cs="仿宋_GB2312"/>
                <w:b/>
                <w:bCs w:val="0"/>
                <w:color w:val="auto"/>
                <w:sz w:val="24"/>
                <w:lang w:val="en-US" w:eastAsia="zh-CN"/>
              </w:rPr>
            </w:pPr>
            <w:r>
              <w:rPr>
                <w:rFonts w:hint="eastAsia" w:ascii="仿宋_GB2312" w:hAnsi="仿宋_GB2312" w:eastAsia="仿宋_GB2312" w:cs="仿宋_GB2312"/>
                <w:b/>
                <w:bCs w:val="0"/>
                <w:color w:val="auto"/>
                <w:sz w:val="24"/>
                <w:lang w:val="en-US" w:eastAsia="zh-CN"/>
              </w:rPr>
              <w:t>序号</w:t>
            </w:r>
          </w:p>
        </w:tc>
        <w:tc>
          <w:tcPr>
            <w:tcW w:w="4372" w:type="dxa"/>
            <w:vAlign w:val="center"/>
          </w:tcPr>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采购文件服务要求内容</w:t>
            </w:r>
          </w:p>
        </w:tc>
        <w:tc>
          <w:tcPr>
            <w:tcW w:w="1328" w:type="dxa"/>
            <w:vAlign w:val="center"/>
          </w:tcPr>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rPr>
              <w:t>响应内容</w:t>
            </w:r>
          </w:p>
        </w:tc>
        <w:tc>
          <w:tcPr>
            <w:tcW w:w="1395" w:type="dxa"/>
            <w:vAlign w:val="center"/>
          </w:tcPr>
          <w:p>
            <w:pPr>
              <w:rPr>
                <w:rFonts w:hint="eastAsia" w:ascii="仿宋_GB2312" w:hAnsi="仿宋_GB2312" w:eastAsia="仿宋_GB2312" w:cs="仿宋_GB2312"/>
                <w:b/>
                <w:bCs w:val="0"/>
                <w:color w:val="auto"/>
                <w:sz w:val="24"/>
              </w:rPr>
            </w:pPr>
            <w:r>
              <w:rPr>
                <w:rFonts w:hint="eastAsia" w:ascii="仿宋_GB2312" w:hAnsi="仿宋_GB2312" w:eastAsia="仿宋_GB2312" w:cs="仿宋_GB2312"/>
                <w:b/>
                <w:bCs w:val="0"/>
                <w:color w:val="auto"/>
                <w:sz w:val="24"/>
                <w:lang w:val="en-US" w:eastAsia="zh-CN"/>
              </w:rPr>
              <w:t>偏离说明</w:t>
            </w:r>
          </w:p>
        </w:tc>
        <w:tc>
          <w:tcPr>
            <w:tcW w:w="1202" w:type="dxa"/>
            <w:vAlign w:val="center"/>
          </w:tcPr>
          <w:p>
            <w:pPr>
              <w:rPr>
                <w:rFonts w:hint="eastAsia" w:ascii="仿宋_GB2312" w:hAnsi="仿宋_GB2312" w:eastAsia="仿宋_GB2312" w:cs="仿宋_GB2312"/>
                <w:b/>
                <w:bCs w:val="0"/>
                <w:color w:val="auto"/>
                <w:sz w:val="24"/>
                <w:lang w:val="en-US" w:eastAsia="zh-CN"/>
              </w:rPr>
            </w:pPr>
            <w:r>
              <w:rPr>
                <w:rFonts w:hint="eastAsia" w:ascii="仿宋_GB2312" w:hAnsi="仿宋_GB2312" w:eastAsia="仿宋_GB2312" w:cs="仿宋_GB2312"/>
                <w:b/>
                <w:bCs w:val="0"/>
                <w:color w:val="auto"/>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pPr>
              <w:jc w:val="cente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1</w:t>
            </w:r>
          </w:p>
        </w:tc>
        <w:tc>
          <w:tcPr>
            <w:tcW w:w="4372" w:type="dxa"/>
            <w:vAlign w:val="center"/>
          </w:tcPr>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基本情况：依据《公共机构节能条例》（国务院〔2008〕第531号令）、《公共机构能源审计暂行办法》（国家发改委、国管局〔2015〕第32号令）、《公共机构能源审计技术导则》（GBT31342-2014）及《公共机构能源审计管理暂行办法》等相关规定，组织开展能源审计工作。</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能源审计对象范围：柳州市机关事务管理局指定的公共机构</w:t>
            </w:r>
            <w:r>
              <w:rPr>
                <w:rFonts w:hint="eastAsia" w:ascii="仿宋_GB2312" w:hAnsi="仿宋_GB2312" w:eastAsia="仿宋_GB2312" w:cs="仿宋_GB2312"/>
                <w:b w:val="0"/>
                <w:bCs/>
                <w:color w:val="auto"/>
                <w:sz w:val="24"/>
                <w:lang w:val="en-US" w:eastAsia="zh-CN"/>
              </w:rPr>
              <w:t>21</w:t>
            </w:r>
            <w:r>
              <w:rPr>
                <w:rFonts w:hint="eastAsia" w:ascii="仿宋_GB2312" w:hAnsi="仿宋_GB2312" w:eastAsia="仿宋_GB2312" w:cs="仿宋_GB2312"/>
                <w:b w:val="0"/>
                <w:bCs/>
                <w:color w:val="auto"/>
                <w:sz w:val="24"/>
              </w:rPr>
              <w:t>家单位。</w:t>
            </w:r>
          </w:p>
        </w:tc>
        <w:tc>
          <w:tcPr>
            <w:tcW w:w="1328" w:type="dxa"/>
            <w:vAlign w:val="center"/>
          </w:tcPr>
          <w:p>
            <w:pPr>
              <w:rPr>
                <w:rFonts w:hint="eastAsia" w:ascii="仿宋_GB2312" w:hAnsi="仿宋_GB2312" w:eastAsia="仿宋_GB2312" w:cs="仿宋_GB2312"/>
                <w:b w:val="0"/>
                <w:bCs/>
                <w:color w:val="auto"/>
                <w:sz w:val="24"/>
              </w:rPr>
            </w:pPr>
          </w:p>
        </w:tc>
        <w:tc>
          <w:tcPr>
            <w:tcW w:w="1395" w:type="dxa"/>
            <w:vAlign w:val="center"/>
          </w:tcPr>
          <w:p>
            <w:pPr>
              <w:rPr>
                <w:rFonts w:hint="eastAsia" w:ascii="仿宋_GB2312" w:hAnsi="仿宋_GB2312" w:eastAsia="仿宋_GB2312" w:cs="仿宋_GB2312"/>
                <w:b w:val="0"/>
                <w:bCs/>
                <w:color w:val="auto"/>
                <w:sz w:val="24"/>
              </w:rPr>
            </w:pPr>
          </w:p>
        </w:tc>
        <w:tc>
          <w:tcPr>
            <w:tcW w:w="1202" w:type="dxa"/>
            <w:vAlign w:val="center"/>
          </w:tcPr>
          <w:p>
            <w:pPr>
              <w:rPr>
                <w:rFonts w:hint="eastAsia" w:ascii="仿宋_GB2312" w:hAnsi="仿宋_GB2312" w:eastAsia="仿宋_GB2312" w:cs="仿宋_GB2312"/>
                <w:b w:val="0"/>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pPr>
              <w:jc w:val="cente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2</w:t>
            </w:r>
          </w:p>
        </w:tc>
        <w:tc>
          <w:tcPr>
            <w:tcW w:w="4372" w:type="dxa"/>
            <w:vAlign w:val="center"/>
          </w:tcPr>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lang w:val="en-US" w:eastAsia="zh-CN"/>
              </w:rPr>
              <w:t>能源</w:t>
            </w:r>
            <w:r>
              <w:rPr>
                <w:rFonts w:hint="eastAsia" w:ascii="仿宋_GB2312" w:hAnsi="仿宋_GB2312" w:eastAsia="仿宋_GB2312" w:cs="仿宋_GB2312"/>
                <w:b w:val="0"/>
                <w:bCs/>
                <w:color w:val="auto"/>
                <w:sz w:val="24"/>
              </w:rPr>
              <w:t>审计程序：</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1.制定方案：包括前期沟通、编制方案、启动会议方案；</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2.信息收集：收集公共机构基本信息、能源资源管理方面信息，统计公共机构建筑物的总体构成情况、建筑物围护结构信息及用能基本信息；</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3.初步分析：对收集到的基本信息和数据进行审查，核实数据的真实性和准确性。对公共机构能源消耗情况，绘制能源消耗流向示意图，简要说明各项能源消耗所涉及的建筑区域和用能系统；</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4.现场实施：包括制定计划、现场调查、现场测试；</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5.分析评价：包括完善数据、能量平衡分析、数据汇总综合分析、主要用能系统分析评价、能源管理状况和绩效分析、能源计量及统计状况分析、节能效果与节能潜力分析；</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6.形成报告：按规定编制审计报告并送采购人核验。</w:t>
            </w:r>
          </w:p>
        </w:tc>
        <w:tc>
          <w:tcPr>
            <w:tcW w:w="1328" w:type="dxa"/>
            <w:vAlign w:val="center"/>
          </w:tcPr>
          <w:p>
            <w:pPr>
              <w:rPr>
                <w:rFonts w:hint="eastAsia" w:ascii="仿宋_GB2312" w:hAnsi="仿宋_GB2312" w:eastAsia="仿宋_GB2312" w:cs="仿宋_GB2312"/>
                <w:b w:val="0"/>
                <w:bCs/>
                <w:color w:val="auto"/>
                <w:sz w:val="24"/>
              </w:rPr>
            </w:pPr>
          </w:p>
        </w:tc>
        <w:tc>
          <w:tcPr>
            <w:tcW w:w="1395" w:type="dxa"/>
            <w:vAlign w:val="center"/>
          </w:tcPr>
          <w:p>
            <w:pPr>
              <w:rPr>
                <w:rFonts w:hint="eastAsia" w:ascii="仿宋_GB2312" w:hAnsi="仿宋_GB2312" w:eastAsia="仿宋_GB2312" w:cs="仿宋_GB2312"/>
                <w:b w:val="0"/>
                <w:bCs/>
                <w:color w:val="auto"/>
                <w:sz w:val="24"/>
              </w:rPr>
            </w:pPr>
          </w:p>
        </w:tc>
        <w:tc>
          <w:tcPr>
            <w:tcW w:w="1202" w:type="dxa"/>
            <w:vAlign w:val="center"/>
          </w:tcPr>
          <w:p>
            <w:pPr>
              <w:rPr>
                <w:rFonts w:hint="eastAsia" w:ascii="仿宋_GB2312" w:hAnsi="仿宋_GB2312" w:eastAsia="仿宋_GB2312" w:cs="仿宋_GB2312"/>
                <w:b w:val="0"/>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pPr>
              <w:jc w:val="cente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lang w:val="en-US" w:eastAsia="zh-CN"/>
              </w:rPr>
              <w:t>3</w:t>
            </w:r>
          </w:p>
        </w:tc>
        <w:tc>
          <w:tcPr>
            <w:tcW w:w="4372" w:type="dxa"/>
            <w:vAlign w:val="center"/>
          </w:tcPr>
          <w:p>
            <w:pPr>
              <w:rPr>
                <w:rFonts w:hint="eastAsia" w:ascii="仿宋_GB2312" w:hAnsi="仿宋_GB2312" w:eastAsia="仿宋_GB2312" w:cs="仿宋_GB2312"/>
                <w:b w:val="0"/>
                <w:bCs/>
                <w:color w:val="auto"/>
                <w:sz w:val="24"/>
                <w:lang w:eastAsia="zh-CN"/>
              </w:rPr>
            </w:pPr>
            <w:r>
              <w:rPr>
                <w:rFonts w:hint="eastAsia" w:ascii="仿宋_GB2312" w:hAnsi="仿宋_GB2312" w:eastAsia="仿宋_GB2312" w:cs="仿宋_GB2312"/>
                <w:b w:val="0"/>
                <w:bCs/>
                <w:color w:val="auto"/>
                <w:sz w:val="24"/>
              </w:rPr>
              <w:t>能源审计服务内容</w:t>
            </w:r>
            <w:r>
              <w:rPr>
                <w:rFonts w:hint="eastAsia" w:ascii="仿宋_GB2312" w:hAnsi="仿宋_GB2312" w:eastAsia="仿宋_GB2312" w:cs="仿宋_GB2312"/>
                <w:b w:val="0"/>
                <w:bCs/>
                <w:color w:val="auto"/>
                <w:sz w:val="24"/>
                <w:lang w:eastAsia="zh-CN"/>
              </w:rPr>
              <w:t>：</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本项目依据《公共机构能源审计管理暂行办法》和《公共机构能源审计技术导则》（GB/T 31342-2014）要求，应完成以下内容：</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（1）公共机构概况</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公共机构基本情况、建筑物概况、能源资源利用总体情况，以及主要能源资源利用系统情况。</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（2）能源资源管理状况</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审阅公共机构能源管理文件，核查公共机构能源资源管理的机构及职责、制度建设及执行情况、能源资源管理的成效与问题。</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（3）能源资源计量及统计状况</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审计能源计量范围、计量器具的配置、计量器具的管理、能源资源统计的内容和数据汇总计算等，基于审计过程中收集的信息，对被审计公共机构向公共机构能源资源消费统计信息系统填报的数据进行校核更新</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说明公共机构能源资源计量体系成效与问题。</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（4）能源资源消费指标计算分析</w:t>
            </w:r>
          </w:p>
          <w:p>
            <w:pPr>
              <w:rPr>
                <w:rFonts w:hint="eastAsia" w:ascii="仿宋_GB2312" w:hAnsi="仿宋_GB2312" w:eastAsia="仿宋_GB2312" w:cs="仿宋_GB2312"/>
                <w:b w:val="0"/>
                <w:bCs/>
                <w:color w:val="auto"/>
                <w:sz w:val="24"/>
                <w:lang w:eastAsia="zh-CN"/>
              </w:rPr>
            </w:pPr>
            <w:r>
              <w:rPr>
                <w:rFonts w:hint="eastAsia" w:ascii="仿宋_GB2312" w:hAnsi="仿宋_GB2312" w:eastAsia="仿宋_GB2312" w:cs="仿宋_GB2312"/>
                <w:b w:val="0"/>
                <w:bCs/>
                <w:color w:val="auto"/>
                <w:sz w:val="24"/>
              </w:rPr>
              <w:t>审计公共机构能源资源消费的种类、来源及其流向，能源资源消费指标的构成与定义，计算数据来源，指标计算结果分析。按能源资源种类分析公共机构基准期至审计期各年度、月度实物消费量，分析公共机构能源资源消费年度变化趋势、季节变化因素和特点</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计算、分析建筑总能耗，将建筑能源消耗量统一折算为标准煤耗量，计算单位建筑面积能耗、人均能耗、人均水资源消耗等能源资源消费指标，并依据</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公共机构能耗定额</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DB45/T 2360-2021</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进行对标。</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w:t>
            </w:r>
            <w:r>
              <w:rPr>
                <w:rFonts w:hint="eastAsia" w:ascii="仿宋_GB2312" w:hAnsi="仿宋_GB2312" w:eastAsia="仿宋_GB2312" w:cs="仿宋_GB2312"/>
                <w:b w:val="0"/>
                <w:bCs/>
                <w:color w:val="auto"/>
                <w:sz w:val="24"/>
                <w:lang w:val="en-US" w:eastAsia="zh-CN"/>
              </w:rPr>
              <w:t>5</w:t>
            </w:r>
            <w:r>
              <w:rPr>
                <w:rFonts w:hint="eastAsia" w:ascii="仿宋_GB2312" w:hAnsi="仿宋_GB2312" w:eastAsia="仿宋_GB2312" w:cs="仿宋_GB2312"/>
                <w:b w:val="0"/>
                <w:bCs/>
                <w:color w:val="auto"/>
                <w:sz w:val="24"/>
              </w:rPr>
              <w:t>）</w:t>
            </w:r>
            <w:r>
              <w:rPr>
                <w:rFonts w:hint="eastAsia" w:ascii="仿宋_GB2312" w:hAnsi="仿宋_GB2312" w:eastAsia="仿宋_GB2312" w:cs="仿宋_GB2312"/>
                <w:b w:val="0"/>
                <w:bCs/>
                <w:color w:val="auto"/>
                <w:sz w:val="24"/>
                <w:lang w:val="en-US" w:eastAsia="zh-CN"/>
              </w:rPr>
              <w:t>主要用能系统现场测试</w:t>
            </w:r>
          </w:p>
          <w:p>
            <w:pPr>
              <w:rPr>
                <w:rFonts w:hint="eastAsia" w:ascii="仿宋_GB2312" w:hAnsi="仿宋_GB2312" w:eastAsia="仿宋_GB2312" w:cs="仿宋_GB2312"/>
                <w:b w:val="0"/>
                <w:bCs/>
                <w:color w:val="auto"/>
                <w:sz w:val="24"/>
                <w:lang w:val="en-US"/>
              </w:rPr>
            </w:pPr>
            <w:r>
              <w:rPr>
                <w:rFonts w:hint="eastAsia" w:ascii="仿宋_GB2312" w:hAnsi="仿宋_GB2312" w:eastAsia="仿宋_GB2312" w:cs="仿宋_GB2312"/>
                <w:b w:val="0"/>
                <w:bCs/>
                <w:color w:val="auto"/>
                <w:sz w:val="24"/>
              </w:rPr>
              <w:t>开展</w:t>
            </w:r>
            <w:r>
              <w:rPr>
                <w:rFonts w:hint="eastAsia" w:ascii="仿宋_GB2312" w:hAnsi="仿宋_GB2312" w:eastAsia="仿宋_GB2312" w:cs="仿宋_GB2312"/>
                <w:b w:val="0"/>
                <w:bCs/>
                <w:color w:val="auto"/>
                <w:sz w:val="24"/>
                <w:lang w:val="en-US" w:eastAsia="zh-CN"/>
              </w:rPr>
              <w:t>公共机构</w:t>
            </w:r>
            <w:r>
              <w:rPr>
                <w:rFonts w:hint="eastAsia" w:ascii="仿宋_GB2312" w:hAnsi="仿宋_GB2312" w:eastAsia="仿宋_GB2312" w:cs="仿宋_GB2312"/>
                <w:b w:val="0"/>
                <w:bCs/>
                <w:color w:val="auto"/>
                <w:sz w:val="24"/>
              </w:rPr>
              <w:t>建筑室内环境及主要能源资源利用系统</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空调系统、照明系统等</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性能现场测试</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分别对建筑内不同功能、有代表性的房间或区域至少</w:t>
            </w:r>
            <w:r>
              <w:rPr>
                <w:rFonts w:hint="eastAsia" w:ascii="仿宋_GB2312" w:hAnsi="仿宋_GB2312" w:eastAsia="仿宋_GB2312" w:cs="仿宋_GB2312"/>
                <w:b w:val="0"/>
                <w:bCs/>
                <w:color w:val="auto"/>
                <w:sz w:val="24"/>
                <w:lang w:val="en-US" w:eastAsia="zh-CN"/>
              </w:rPr>
              <w:t>十</w:t>
            </w:r>
            <w:r>
              <w:rPr>
                <w:rFonts w:hint="eastAsia" w:ascii="仿宋_GB2312" w:hAnsi="仿宋_GB2312" w:eastAsia="仿宋_GB2312" w:cs="仿宋_GB2312"/>
                <w:b w:val="0"/>
                <w:bCs/>
                <w:color w:val="auto"/>
                <w:sz w:val="24"/>
              </w:rPr>
              <w:t>处</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rPr>
              <w:t>在正常使用情况下的建筑室内环境品质进行检测，检测内容包括</w:t>
            </w:r>
            <w:r>
              <w:rPr>
                <w:rFonts w:hint="eastAsia" w:ascii="仿宋_GB2312" w:hAnsi="仿宋_GB2312" w:eastAsia="仿宋_GB2312" w:cs="仿宋_GB2312"/>
                <w:b w:val="0"/>
                <w:bCs/>
                <w:color w:val="auto"/>
                <w:sz w:val="24"/>
                <w:lang w:val="en-US" w:eastAsia="zh-CN"/>
              </w:rPr>
              <w:t>但不限于</w:t>
            </w:r>
            <w:r>
              <w:rPr>
                <w:rFonts w:hint="eastAsia" w:ascii="仿宋_GB2312" w:hAnsi="仿宋_GB2312" w:eastAsia="仿宋_GB2312" w:cs="仿宋_GB2312"/>
                <w:b w:val="0"/>
                <w:bCs/>
                <w:color w:val="auto"/>
                <w:sz w:val="24"/>
              </w:rPr>
              <w:t>室内温度、相对湿度、二氧化碳浓度、照度等；还应评判检测区域的室内环境品质是否符合国家、行业或本市现行标准中的相关规定</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针对水基中央空调系统，在标准运行状态下，检测主机（系统）运行情况，包括但不限于进出水温度、流量、实时功率、风机盘管风量及流量、耗电量等参数，对中央空调系统能效进行评估。</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w:t>
            </w:r>
            <w:r>
              <w:rPr>
                <w:rFonts w:hint="eastAsia" w:ascii="仿宋_GB2312" w:hAnsi="仿宋_GB2312" w:eastAsia="仿宋_GB2312" w:cs="仿宋_GB2312"/>
                <w:b w:val="0"/>
                <w:bCs/>
                <w:color w:val="auto"/>
                <w:sz w:val="24"/>
                <w:lang w:val="en-US" w:eastAsia="zh-CN"/>
              </w:rPr>
              <w:t>6</w:t>
            </w:r>
            <w:r>
              <w:rPr>
                <w:rFonts w:hint="eastAsia" w:ascii="仿宋_GB2312" w:hAnsi="仿宋_GB2312" w:eastAsia="仿宋_GB2312" w:cs="仿宋_GB2312"/>
                <w:b w:val="0"/>
                <w:bCs/>
                <w:color w:val="auto"/>
                <w:sz w:val="24"/>
              </w:rPr>
              <w:t>）建筑及主要能源资源利用系统分析</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rPr>
              <w:t>审计公共机构主要能源资源利用系统构成、设备配置与运行情况，</w:t>
            </w:r>
            <w:r>
              <w:rPr>
                <w:rFonts w:hint="eastAsia" w:ascii="仿宋_GB2312" w:hAnsi="仿宋_GB2312" w:eastAsia="仿宋_GB2312" w:cs="仿宋_GB2312"/>
                <w:b w:val="0"/>
                <w:bCs/>
                <w:color w:val="auto"/>
                <w:sz w:val="24"/>
                <w:lang w:val="en-US" w:eastAsia="zh-CN"/>
              </w:rPr>
              <w:t>根据</w:t>
            </w:r>
            <w:r>
              <w:rPr>
                <w:rFonts w:hint="eastAsia" w:ascii="仿宋_GB2312" w:hAnsi="仿宋_GB2312" w:eastAsia="仿宋_GB2312" w:cs="仿宋_GB2312"/>
                <w:b w:val="0"/>
                <w:bCs/>
                <w:color w:val="auto"/>
                <w:sz w:val="24"/>
              </w:rPr>
              <w:t>现场测试</w:t>
            </w:r>
            <w:r>
              <w:rPr>
                <w:rFonts w:hint="eastAsia" w:ascii="仿宋_GB2312" w:hAnsi="仿宋_GB2312" w:eastAsia="仿宋_GB2312" w:cs="仿宋_GB2312"/>
                <w:b w:val="0"/>
                <w:bCs/>
                <w:color w:val="auto"/>
                <w:sz w:val="24"/>
                <w:lang w:val="en-US" w:eastAsia="zh-CN"/>
              </w:rPr>
              <w:t>情况</w:t>
            </w:r>
            <w:r>
              <w:rPr>
                <w:rFonts w:hint="eastAsia" w:ascii="仿宋_GB2312" w:hAnsi="仿宋_GB2312" w:eastAsia="仿宋_GB2312" w:cs="仿宋_GB2312"/>
                <w:b w:val="0"/>
                <w:bCs/>
                <w:color w:val="auto"/>
                <w:sz w:val="24"/>
              </w:rPr>
              <w:t>，分析系统存在问题。审计范围包括：建筑围护结构、供暖系统、空调系统、供配电系统、照明系统、用水系统、车辆交通系统以及电梯、食堂、信息机房等其他附属设施用能系统</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针对空调系统、照明系统等重点系统做专项分析评价。</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w:t>
            </w:r>
            <w:r>
              <w:rPr>
                <w:rFonts w:hint="eastAsia" w:ascii="仿宋_GB2312" w:hAnsi="仿宋_GB2312" w:eastAsia="仿宋_GB2312" w:cs="仿宋_GB2312"/>
                <w:b w:val="0"/>
                <w:bCs/>
                <w:color w:val="auto"/>
                <w:sz w:val="24"/>
                <w:lang w:val="en-US" w:eastAsia="zh-CN"/>
              </w:rPr>
              <w:t>7</w:t>
            </w:r>
            <w:r>
              <w:rPr>
                <w:rFonts w:hint="eastAsia" w:ascii="仿宋_GB2312" w:hAnsi="仿宋_GB2312" w:eastAsia="仿宋_GB2312" w:cs="仿宋_GB2312"/>
                <w:b w:val="0"/>
                <w:bCs/>
                <w:color w:val="auto"/>
                <w:sz w:val="24"/>
              </w:rPr>
              <w:t>）绿色发展专项检查</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rPr>
              <w:t>对自然采光、空调温度设置、绿色采购、无纸化办公、新能源公务车等行为节约情况进行检查；对生活垃圾分类、再生用品使用、塑料污染治理、通用资产周转等资源循环利用情况进行检查</w:t>
            </w:r>
            <w:r>
              <w:rPr>
                <w:rFonts w:hint="eastAsia" w:ascii="仿宋_GB2312" w:hAnsi="仿宋_GB2312" w:eastAsia="仿宋_GB2312" w:cs="仿宋_GB2312"/>
                <w:b w:val="0"/>
                <w:bCs/>
                <w:color w:val="auto"/>
                <w:sz w:val="24"/>
                <w:lang w:eastAsia="zh-CN"/>
              </w:rPr>
              <w:t>。</w:t>
            </w:r>
          </w:p>
          <w:p>
            <w:pPr>
              <w:rPr>
                <w:rFonts w:hint="eastAsia" w:ascii="仿宋_GB2312" w:hAnsi="仿宋_GB2312" w:eastAsia="仿宋_GB2312" w:cs="仿宋_GB2312"/>
                <w:b w:val="0"/>
                <w:bCs/>
                <w:color w:val="auto"/>
                <w:sz w:val="24"/>
                <w:lang w:val="en-US" w:eastAsia="zh-CN"/>
              </w:rPr>
            </w:pPr>
            <w:r>
              <w:rPr>
                <w:rFonts w:hint="eastAsia" w:ascii="仿宋_GB2312" w:hAnsi="仿宋_GB2312" w:eastAsia="仿宋_GB2312" w:cs="仿宋_GB2312"/>
                <w:b w:val="0"/>
                <w:bCs/>
                <w:color w:val="auto"/>
                <w:sz w:val="24"/>
              </w:rPr>
              <w:t>（</w:t>
            </w:r>
            <w:r>
              <w:rPr>
                <w:rFonts w:hint="eastAsia" w:ascii="仿宋_GB2312" w:hAnsi="仿宋_GB2312" w:eastAsia="仿宋_GB2312" w:cs="仿宋_GB2312"/>
                <w:b w:val="0"/>
                <w:bCs/>
                <w:color w:val="auto"/>
                <w:sz w:val="24"/>
                <w:lang w:val="en-US" w:eastAsia="zh-CN"/>
              </w:rPr>
              <w:t>8</w:t>
            </w:r>
            <w:r>
              <w:rPr>
                <w:rFonts w:hint="eastAsia" w:ascii="仿宋_GB2312" w:hAnsi="仿宋_GB2312" w:eastAsia="仿宋_GB2312" w:cs="仿宋_GB2312"/>
                <w:b w:val="0"/>
                <w:bCs/>
                <w:color w:val="auto"/>
                <w:sz w:val="24"/>
              </w:rPr>
              <w:t>）节能效果与节能潜力分析</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审计公共机构实施节能技改项目已取得的成效，对公共机构基准期至审计期内完成的节能技改项目进行汇总分析，核算节能技改项目已取得的效果（节能量、减排指标）。确定比较基准值，计算公共机构审计期的节能量和节能率，并对公共机构节能指标的分解、完成情况进行对比分析。分析节能途径与潜力，提出节能改造建议方案。结合公共机构能源资源消费情况、能源资源利用系统存在问题，全面分析公共机构可利用能源资源基础条件，测算公共机构节能潜力，并从管理、技术两个途径提出合理的节能改造建议方案</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侧重从技术途经，对公共机构的空调、照明系统等提出有针对性和可行性的专业节能改造建议。</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w:t>
            </w:r>
            <w:r>
              <w:rPr>
                <w:rFonts w:hint="eastAsia" w:ascii="仿宋_GB2312" w:hAnsi="仿宋_GB2312" w:eastAsia="仿宋_GB2312" w:cs="仿宋_GB2312"/>
                <w:b w:val="0"/>
                <w:bCs/>
                <w:color w:val="auto"/>
                <w:sz w:val="24"/>
                <w:lang w:val="en-US" w:eastAsia="zh-CN"/>
              </w:rPr>
              <w:t>9</w:t>
            </w:r>
            <w:r>
              <w:rPr>
                <w:rFonts w:hint="eastAsia" w:ascii="仿宋_GB2312" w:hAnsi="仿宋_GB2312" w:eastAsia="仿宋_GB2312" w:cs="仿宋_GB2312"/>
                <w:b w:val="0"/>
                <w:bCs/>
                <w:color w:val="auto"/>
                <w:sz w:val="24"/>
              </w:rPr>
              <w:t>）编制能源审计报告</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能源审计报告应符合《公共机构能源审计技术导则》（GB/T 31342-2014）要求</w:t>
            </w: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报告除常规内容外，可针对公共机构能耗占比较大的空调系统、照明系统等提出专项改造方案。</w:t>
            </w:r>
            <w:r>
              <w:rPr>
                <w:rFonts w:hint="eastAsia" w:ascii="仿宋_GB2312" w:hAnsi="仿宋_GB2312" w:eastAsia="仿宋_GB2312" w:cs="仿宋_GB2312"/>
                <w:b w:val="0"/>
                <w:bCs/>
                <w:color w:val="auto"/>
                <w:sz w:val="24"/>
              </w:rPr>
              <w:t>能源审计服务机构形成的能源审计报告应当书面征求被审计公共机构意见，被审计公共机构应当自接到能源审计报告之日起10个工作日内，提出书面意见；能源审计服务机构要进一步核实情况，对审计报告做相应修改，送达采购人和被审计公共机构。</w:t>
            </w:r>
          </w:p>
        </w:tc>
        <w:tc>
          <w:tcPr>
            <w:tcW w:w="1328" w:type="dxa"/>
            <w:vAlign w:val="center"/>
          </w:tcPr>
          <w:p>
            <w:pPr>
              <w:rPr>
                <w:rFonts w:hint="eastAsia" w:ascii="仿宋_GB2312" w:hAnsi="仿宋_GB2312" w:eastAsia="仿宋_GB2312" w:cs="仿宋_GB2312"/>
                <w:b w:val="0"/>
                <w:bCs/>
                <w:color w:val="auto"/>
                <w:sz w:val="24"/>
              </w:rPr>
            </w:pPr>
          </w:p>
        </w:tc>
        <w:tc>
          <w:tcPr>
            <w:tcW w:w="1395" w:type="dxa"/>
            <w:vAlign w:val="center"/>
          </w:tcPr>
          <w:p>
            <w:pPr>
              <w:rPr>
                <w:rFonts w:hint="eastAsia" w:ascii="仿宋_GB2312" w:hAnsi="仿宋_GB2312" w:eastAsia="仿宋_GB2312" w:cs="仿宋_GB2312"/>
                <w:b w:val="0"/>
                <w:bCs/>
                <w:color w:val="auto"/>
                <w:sz w:val="24"/>
              </w:rPr>
            </w:pPr>
          </w:p>
        </w:tc>
        <w:tc>
          <w:tcPr>
            <w:tcW w:w="1202" w:type="dxa"/>
            <w:vAlign w:val="center"/>
          </w:tcPr>
          <w:p>
            <w:pPr>
              <w:rPr>
                <w:rFonts w:hint="eastAsia" w:ascii="仿宋_GB2312" w:hAnsi="仿宋_GB2312" w:eastAsia="仿宋_GB2312" w:cs="仿宋_GB2312"/>
                <w:b w:val="0"/>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0" w:type="dxa"/>
            <w:vAlign w:val="center"/>
          </w:tcPr>
          <w:p>
            <w:pPr>
              <w:bidi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w:t>
            </w:r>
          </w:p>
        </w:tc>
        <w:tc>
          <w:tcPr>
            <w:tcW w:w="4372" w:type="dxa"/>
            <w:vAlign w:val="center"/>
          </w:tcPr>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能源审计工作要求</w:t>
            </w:r>
          </w:p>
          <w:p>
            <w:pPr>
              <w:rPr>
                <w:rFonts w:hint="eastAsia" w:ascii="仿宋_GB2312" w:hAnsi="仿宋_GB2312" w:eastAsia="仿宋_GB2312" w:cs="仿宋_GB2312"/>
                <w:color w:val="auto"/>
                <w:sz w:val="24"/>
              </w:rPr>
            </w:pPr>
            <w:r>
              <w:rPr>
                <w:rFonts w:hint="eastAsia" w:ascii="仿宋_GB2312" w:hAnsi="仿宋_GB2312" w:eastAsia="仿宋_GB2312" w:cs="仿宋_GB2312"/>
                <w:b w:val="0"/>
                <w:bCs/>
                <w:color w:val="auto"/>
                <w:sz w:val="24"/>
              </w:rPr>
              <w:t>1</w:t>
            </w:r>
            <w:r>
              <w:rPr>
                <w:rFonts w:hint="eastAsia" w:ascii="仿宋_GB2312" w:hAnsi="仿宋_GB2312" w:eastAsia="仿宋_GB2312" w:cs="仿宋_GB2312"/>
                <w:b w:val="0"/>
                <w:bCs/>
                <w:color w:val="auto"/>
                <w:sz w:val="24"/>
                <w:lang w:val="en-US" w:eastAsia="zh-CN"/>
              </w:rPr>
              <w:t>.</w:t>
            </w:r>
            <w:r>
              <w:rPr>
                <w:rFonts w:hint="eastAsia" w:ascii="仿宋_GB2312" w:hAnsi="仿宋_GB2312" w:eastAsia="仿宋_GB2312" w:cs="仿宋_GB2312"/>
                <w:b w:val="0"/>
                <w:bCs/>
                <w:color w:val="auto"/>
                <w:sz w:val="24"/>
              </w:rPr>
              <w:t>审计服务期限：</w:t>
            </w:r>
            <w:r>
              <w:rPr>
                <w:rFonts w:hint="eastAsia" w:ascii="仿宋_GB2312" w:hAnsi="仿宋_GB2312" w:eastAsia="仿宋_GB2312" w:cs="仿宋_GB2312"/>
                <w:bCs/>
                <w:color w:val="auto"/>
                <w:sz w:val="24"/>
                <w:lang w:val="en-US" w:eastAsia="zh-CN"/>
              </w:rPr>
              <w:t>45</w:t>
            </w:r>
            <w:r>
              <w:rPr>
                <w:rFonts w:hint="eastAsia" w:ascii="仿宋_GB2312" w:hAnsi="仿宋_GB2312" w:eastAsia="仿宋_GB2312" w:cs="仿宋_GB2312"/>
                <w:bCs/>
                <w:color w:val="auto"/>
                <w:sz w:val="24"/>
              </w:rPr>
              <w:t>个工作日</w:t>
            </w:r>
            <w:r>
              <w:rPr>
                <w:rFonts w:hint="eastAsia" w:ascii="仿宋_GB2312" w:hAnsi="仿宋_GB2312" w:eastAsia="仿宋_GB2312" w:cs="仿宋_GB2312"/>
                <w:color w:val="auto"/>
                <w:sz w:val="24"/>
              </w:rPr>
              <w:t>。</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2.</w:t>
            </w:r>
            <w:r>
              <w:rPr>
                <w:rFonts w:hint="eastAsia" w:ascii="仿宋_GB2312" w:hAnsi="仿宋_GB2312" w:eastAsia="仿宋_GB2312" w:cs="仿宋_GB2312"/>
                <w:b/>
                <w:bCs w:val="0"/>
                <w:color w:val="auto"/>
                <w:sz w:val="24"/>
              </w:rPr>
              <w:t>项目人员配置最低要求</w:t>
            </w:r>
            <w:r>
              <w:rPr>
                <w:rFonts w:hint="eastAsia" w:ascii="仿宋_GB2312" w:hAnsi="仿宋_GB2312" w:eastAsia="仿宋_GB2312" w:cs="仿宋_GB2312"/>
                <w:b/>
                <w:bCs w:val="0"/>
                <w:color w:val="auto"/>
                <w:sz w:val="24"/>
                <w:lang w:eastAsia="zh-CN"/>
              </w:rPr>
              <w:t>：</w:t>
            </w:r>
            <w:r>
              <w:rPr>
                <w:rFonts w:hint="eastAsia" w:ascii="仿宋_GB2312" w:hAnsi="仿宋_GB2312" w:eastAsia="仿宋_GB2312" w:cs="仿宋_GB2312"/>
                <w:b w:val="0"/>
                <w:bCs/>
                <w:color w:val="auto"/>
                <w:sz w:val="24"/>
              </w:rPr>
              <w:t>为保障本项目能源审计工作专业、规范、高质量落地，供应商中标后进场实施须满足以下人员配置标准，为本项目实质性履约要求：</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1）本项目配备的项目负责人须至少具有副高级及以上技术职称证书</w:t>
            </w:r>
            <w:r>
              <w:rPr>
                <w:rFonts w:hint="eastAsia" w:ascii="仿宋_GB2312" w:hAnsi="仿宋_GB2312" w:eastAsia="仿宋_GB2312" w:cs="仿宋_GB2312"/>
                <w:b w:val="0"/>
                <w:bCs/>
                <w:color w:val="auto"/>
                <w:sz w:val="24"/>
              </w:rPr>
              <w:t>；</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2）明确拟派本项目的审计人员名单，</w:t>
            </w:r>
            <w:r>
              <w:rPr>
                <w:rFonts w:hint="eastAsia" w:ascii="仿宋_GB2312" w:hAnsi="仿宋_GB2312" w:eastAsia="仿宋_GB2312" w:cs="仿宋_GB2312"/>
                <w:b w:val="0"/>
                <w:bCs/>
                <w:color w:val="auto"/>
                <w:sz w:val="24"/>
              </w:rPr>
              <w:t>项目核心实施人员全程稳定在岗，未经采购人书面同意不得擅自更换；确因不可抗力需要更换的，替换人员专业资质、从业经验、技术能力不得低于原派驻人员标准；</w:t>
            </w:r>
          </w:p>
          <w:p>
            <w:pP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3）</w:t>
            </w:r>
            <w:r>
              <w:rPr>
                <w:rFonts w:hint="eastAsia" w:ascii="仿宋_GB2312" w:hAnsi="仿宋_GB2312" w:eastAsia="仿宋_GB2312" w:cs="仿宋_GB2312"/>
                <w:b w:val="0"/>
                <w:bCs/>
                <w:color w:val="auto"/>
                <w:sz w:val="24"/>
              </w:rPr>
              <w:t>供应商须在投标文件中对本条款人员配置要求作出正式响应承诺；</w:t>
            </w:r>
          </w:p>
          <w:p>
            <w:pPr>
              <w:rPr>
                <w:rFonts w:hint="eastAsia" w:ascii="仿宋_GB2312" w:hAnsi="仿宋_GB2312" w:eastAsia="仿宋_GB2312" w:cs="仿宋_GB2312"/>
                <w:bCs/>
                <w:color w:val="auto"/>
                <w:sz w:val="24"/>
              </w:rPr>
            </w:pPr>
            <w:r>
              <w:rPr>
                <w:rFonts w:hint="eastAsia" w:ascii="仿宋_GB2312" w:hAnsi="仿宋_GB2312" w:eastAsia="仿宋_GB2312" w:cs="仿宋_GB2312"/>
                <w:b w:val="0"/>
                <w:bCs/>
                <w:color w:val="auto"/>
                <w:sz w:val="24"/>
                <w:lang w:eastAsia="zh-CN"/>
              </w:rPr>
              <w:t>（</w:t>
            </w:r>
            <w:r>
              <w:rPr>
                <w:rFonts w:hint="eastAsia" w:ascii="仿宋_GB2312" w:hAnsi="仿宋_GB2312" w:eastAsia="仿宋_GB2312" w:cs="仿宋_GB2312"/>
                <w:b w:val="0"/>
                <w:bCs/>
                <w:color w:val="auto"/>
                <w:sz w:val="24"/>
                <w:lang w:val="en-US" w:eastAsia="zh-CN"/>
              </w:rPr>
              <w:t>4）</w:t>
            </w:r>
            <w:r>
              <w:rPr>
                <w:rFonts w:hint="eastAsia" w:ascii="仿宋_GB2312" w:hAnsi="仿宋_GB2312" w:eastAsia="仿宋_GB2312" w:cs="仿宋_GB2312"/>
                <w:b w:val="0"/>
                <w:bCs/>
                <w:color w:val="auto"/>
                <w:sz w:val="24"/>
              </w:rPr>
              <w:t>中标公示结束后、合同签订前，采购人有权对中标供应商拟派团队人员资质、履历进行核验，不满足本配置要求的，视为履约条件不达标，采购人有权不予签订合同。</w:t>
            </w:r>
          </w:p>
          <w:p>
            <w:pPr>
              <w:rPr>
                <w:rFonts w:hint="eastAsia" w:ascii="仿宋_GB2312" w:hAnsi="仿宋_GB2312" w:eastAsia="仿宋_GB2312" w:cs="仿宋_GB2312"/>
                <w:bCs/>
                <w:color w:val="auto"/>
                <w:sz w:val="24"/>
              </w:rPr>
            </w:pPr>
            <w:r>
              <w:rPr>
                <w:rFonts w:hint="eastAsia" w:ascii="仿宋_GB2312" w:hAnsi="仿宋_GB2312" w:eastAsia="仿宋_GB2312" w:cs="仿宋_GB2312"/>
                <w:b w:val="0"/>
                <w:bCs/>
                <w:color w:val="auto"/>
                <w:sz w:val="24"/>
              </w:rPr>
              <w:t>3.</w:t>
            </w:r>
            <w:r>
              <w:rPr>
                <w:rFonts w:hint="eastAsia" w:ascii="仿宋_GB2312" w:hAnsi="仿宋_GB2312" w:eastAsia="仿宋_GB2312" w:cs="仿宋_GB2312"/>
                <w:color w:val="auto"/>
                <w:sz w:val="24"/>
              </w:rPr>
              <w:t>开展审计工作前，成交供应商应根据公共机构能源审计项目的具体情况，</w:t>
            </w:r>
            <w:r>
              <w:rPr>
                <w:rFonts w:hint="eastAsia" w:ascii="仿宋_GB2312" w:hAnsi="仿宋_GB2312" w:eastAsia="仿宋_GB2312" w:cs="仿宋_GB2312"/>
                <w:bCs/>
                <w:color w:val="auto"/>
                <w:sz w:val="24"/>
              </w:rPr>
              <w:t>提供项目实施方案（包括对项目的理解和认识、关键点和难点分析、项目实施人员组成，完成时间计划安排及解决方案的可操作性等内容）。</w:t>
            </w:r>
          </w:p>
          <w:p>
            <w:pPr>
              <w:jc w:val="left"/>
              <w:rPr>
                <w:rFonts w:hint="eastAsia" w:ascii="仿宋_GB2312" w:hAnsi="仿宋_GB2312" w:eastAsia="仿宋_GB2312" w:cs="仿宋_GB2312"/>
                <w:bCs/>
                <w:color w:val="auto"/>
                <w:sz w:val="24"/>
              </w:rPr>
            </w:pPr>
            <w:r>
              <w:rPr>
                <w:rFonts w:hint="eastAsia" w:ascii="仿宋_GB2312" w:hAnsi="仿宋_GB2312" w:eastAsia="仿宋_GB2312" w:cs="仿宋_GB2312"/>
                <w:b w:val="0"/>
                <w:bCs/>
                <w:color w:val="auto"/>
                <w:sz w:val="24"/>
              </w:rPr>
              <w:t>4.</w:t>
            </w:r>
            <w:r>
              <w:rPr>
                <w:rFonts w:hint="eastAsia" w:ascii="仿宋_GB2312" w:hAnsi="仿宋_GB2312" w:eastAsia="仿宋_GB2312" w:cs="仿宋_GB2312"/>
                <w:bCs/>
                <w:color w:val="auto"/>
                <w:sz w:val="24"/>
              </w:rPr>
              <w:t>深入调查研究，认真开展能源审计工作，</w:t>
            </w:r>
            <w:r>
              <w:rPr>
                <w:rFonts w:hint="eastAsia" w:ascii="仿宋_GB2312" w:hAnsi="仿宋_GB2312" w:eastAsia="仿宋_GB2312" w:cs="仿宋_GB2312"/>
                <w:color w:val="auto"/>
                <w:sz w:val="24"/>
              </w:rPr>
              <w:t>分析审计期内项目各项能源资源消耗数据，</w:t>
            </w:r>
            <w:r>
              <w:rPr>
                <w:rFonts w:hint="eastAsia" w:ascii="仿宋_GB2312" w:hAnsi="仿宋_GB2312" w:eastAsia="仿宋_GB2312" w:cs="仿宋_GB2312"/>
                <w:bCs/>
                <w:color w:val="auto"/>
                <w:sz w:val="24"/>
              </w:rPr>
              <w:t>并在完成能源审计工作的基础上对采购人提出提高能源效率的合理化建议。</w:t>
            </w:r>
          </w:p>
          <w:p>
            <w:pPr>
              <w:rPr>
                <w:rFonts w:hint="eastAsia" w:ascii="宋体" w:hAnsi="宋体" w:eastAsia="宋体" w:cs="宋体"/>
                <w:color w:val="auto"/>
                <w:sz w:val="21"/>
                <w:szCs w:val="21"/>
                <w:vertAlign w:val="baseline"/>
              </w:rPr>
            </w:pPr>
            <w:r>
              <w:rPr>
                <w:rFonts w:hint="eastAsia" w:ascii="仿宋_GB2312" w:hAnsi="仿宋_GB2312" w:eastAsia="仿宋_GB2312" w:cs="仿宋_GB2312"/>
                <w:b w:val="0"/>
                <w:bCs w:val="0"/>
                <w:color w:val="auto"/>
                <w:sz w:val="24"/>
              </w:rPr>
              <w:t>5.</w:t>
            </w:r>
            <w:r>
              <w:rPr>
                <w:rFonts w:hint="eastAsia" w:ascii="仿宋_GB2312" w:hAnsi="仿宋_GB2312" w:eastAsia="仿宋_GB2312" w:cs="仿宋_GB2312"/>
                <w:bCs/>
                <w:color w:val="auto"/>
                <w:sz w:val="24"/>
              </w:rPr>
              <w:t>审计报告文件提交份数：每项成果（包括公共机构能源审计报告）一式</w:t>
            </w:r>
            <w:r>
              <w:rPr>
                <w:rFonts w:hint="eastAsia" w:ascii="仿宋_GB2312" w:hAnsi="仿宋_GB2312" w:eastAsia="仿宋_GB2312" w:cs="仿宋_GB2312"/>
                <w:bCs/>
                <w:color w:val="auto"/>
                <w:sz w:val="24"/>
                <w:lang w:val="en-US" w:eastAsia="zh-CN"/>
              </w:rPr>
              <w:t>6</w:t>
            </w:r>
            <w:r>
              <w:rPr>
                <w:rFonts w:hint="eastAsia" w:ascii="仿宋_GB2312" w:hAnsi="仿宋_GB2312" w:eastAsia="仿宋_GB2312" w:cs="仿宋_GB2312"/>
                <w:bCs/>
                <w:color w:val="auto"/>
                <w:sz w:val="24"/>
              </w:rPr>
              <w:t>份，PDF格式电子版一份。</w:t>
            </w:r>
          </w:p>
        </w:tc>
        <w:tc>
          <w:tcPr>
            <w:tcW w:w="1328" w:type="dxa"/>
            <w:vAlign w:val="center"/>
          </w:tcPr>
          <w:p>
            <w:pPr>
              <w:bidi w:val="0"/>
              <w:jc w:val="center"/>
              <w:rPr>
                <w:rFonts w:hint="eastAsia" w:ascii="宋体" w:hAnsi="宋体" w:eastAsia="宋体" w:cs="宋体"/>
                <w:color w:val="auto"/>
                <w:sz w:val="21"/>
                <w:szCs w:val="21"/>
                <w:vertAlign w:val="baseline"/>
              </w:rPr>
            </w:pPr>
          </w:p>
        </w:tc>
        <w:tc>
          <w:tcPr>
            <w:tcW w:w="1395" w:type="dxa"/>
            <w:vAlign w:val="center"/>
          </w:tcPr>
          <w:p>
            <w:pPr>
              <w:bidi w:val="0"/>
              <w:jc w:val="center"/>
              <w:rPr>
                <w:rFonts w:hint="eastAsia" w:ascii="宋体" w:hAnsi="宋体" w:eastAsia="宋体" w:cs="宋体"/>
                <w:color w:val="auto"/>
                <w:sz w:val="21"/>
                <w:szCs w:val="21"/>
                <w:vertAlign w:val="baseline"/>
              </w:rPr>
            </w:pPr>
          </w:p>
        </w:tc>
        <w:tc>
          <w:tcPr>
            <w:tcW w:w="1202" w:type="dxa"/>
            <w:vAlign w:val="center"/>
          </w:tcPr>
          <w:p>
            <w:pPr>
              <w:bidi w:val="0"/>
              <w:jc w:val="center"/>
              <w:rPr>
                <w:rFonts w:hint="eastAsia" w:ascii="宋体" w:hAnsi="宋体" w:eastAsia="宋体" w:cs="宋体"/>
                <w:color w:val="auto"/>
                <w:sz w:val="21"/>
                <w:szCs w:val="21"/>
                <w:vertAlign w:val="baseline"/>
              </w:rPr>
            </w:pPr>
          </w:p>
        </w:tc>
      </w:tr>
    </w:tbl>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说明：</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1.逐条对照采购文件要求，在“响应内容”中如实说明供应商的响应情况。</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highlight w:val="none"/>
        </w:rPr>
        <w:t>在“偏离说明”中注明“正偏离”、“负偏离”或者“无偏离”。既不属于“正偏离”也不属于“负偏离”即为“无偏离”。</w:t>
      </w:r>
    </w:p>
    <w:p>
      <w:pPr>
        <w:bidi w:val="0"/>
        <w:rPr>
          <w:rFonts w:hint="eastAsia" w:ascii="仿宋_GB2312" w:hAnsi="仿宋_GB2312" w:eastAsia="仿宋_GB2312" w:cs="仿宋_GB2312"/>
          <w:color w:val="auto"/>
          <w:sz w:val="24"/>
          <w:szCs w:val="24"/>
        </w:rPr>
      </w:pPr>
    </w:p>
    <w:p>
      <w:pPr>
        <w:bidi w:val="0"/>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rPr>
          <w:rFonts w:hint="eastAsia" w:ascii="仿宋_GB2312" w:hAnsi="仿宋_GB2312" w:eastAsia="仿宋_GB2312" w:cs="仿宋_GB2312"/>
          <w:color w:val="auto"/>
          <w:sz w:val="24"/>
          <w:szCs w:val="24"/>
        </w:rPr>
      </w:pPr>
    </w:p>
    <w:p>
      <w:pPr>
        <w:bidi w:val="0"/>
        <w:rPr>
          <w:rFonts w:hint="eastAsia" w:ascii="仿宋_GB2312" w:hAnsi="仿宋_GB2312" w:eastAsia="仿宋_GB2312" w:cs="仿宋_GB2312"/>
          <w:b w:val="0"/>
          <w:bCs w:val="0"/>
          <w:i w:val="0"/>
          <w:iCs w:val="0"/>
          <w:caps w:val="0"/>
          <w:color w:val="auto"/>
          <w:spacing w:val="0"/>
          <w:sz w:val="24"/>
          <w:szCs w:val="24"/>
          <w:shd w:val="clear" w:fill="FFFFFF"/>
        </w:rPr>
      </w:pPr>
      <w:r>
        <w:rPr>
          <w:rFonts w:hint="eastAsia" w:ascii="仿宋_GB2312" w:hAnsi="仿宋_GB2312" w:eastAsia="仿宋_GB2312" w:cs="仿宋_GB2312"/>
          <w:b w:val="0"/>
          <w:bCs w:val="0"/>
          <w:i w:val="0"/>
          <w:iCs w:val="0"/>
          <w:caps w:val="0"/>
          <w:color w:val="auto"/>
          <w:spacing w:val="0"/>
          <w:sz w:val="24"/>
          <w:szCs w:val="24"/>
          <w:shd w:val="clear" w:fill="FFFFFF"/>
          <w:lang w:val="en-US" w:eastAsia="zh-CN"/>
        </w:rPr>
        <w:t>服务</w:t>
      </w:r>
      <w:r>
        <w:rPr>
          <w:rFonts w:hint="eastAsia" w:ascii="仿宋_GB2312" w:hAnsi="仿宋_GB2312" w:eastAsia="仿宋_GB2312" w:cs="仿宋_GB2312"/>
          <w:b w:val="0"/>
          <w:bCs w:val="0"/>
          <w:i w:val="0"/>
          <w:iCs w:val="0"/>
          <w:caps w:val="0"/>
          <w:color w:val="auto"/>
          <w:spacing w:val="0"/>
          <w:sz w:val="24"/>
          <w:szCs w:val="24"/>
          <w:shd w:val="clear" w:fill="FFFFFF"/>
        </w:rPr>
        <w:t>商名称（盖章）：_________________</w:t>
      </w:r>
    </w:p>
    <w:p>
      <w:pPr>
        <w:pStyle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highlight w:val="none"/>
        </w:rPr>
        <w:t>法定代表人或委托代理人签字</w:t>
      </w:r>
      <w:r>
        <w:rPr>
          <w:rFonts w:hint="eastAsia" w:ascii="仿宋_GB2312" w:hAnsi="仿宋_GB2312" w:eastAsia="仿宋_GB2312" w:cs="仿宋_GB2312"/>
          <w:b w:val="0"/>
          <w:bCs w:val="0"/>
          <w:i w:val="0"/>
          <w:iCs w:val="0"/>
          <w:caps w:val="0"/>
          <w:color w:val="auto"/>
          <w:spacing w:val="0"/>
          <w:sz w:val="24"/>
          <w:szCs w:val="24"/>
          <w:shd w:val="clear" w:fill="FFFFFF"/>
        </w:rPr>
        <w:t>：_________________</w:t>
      </w:r>
    </w:p>
    <w:p>
      <w:pPr>
        <w:rPr>
          <w:rFonts w:hint="eastAsia"/>
          <w:color w:val="auto"/>
        </w:rPr>
      </w:pPr>
      <w:r>
        <w:rPr>
          <w:rFonts w:hint="eastAsia"/>
          <w:color w:val="auto"/>
        </w:rPr>
        <w:br w:type="page"/>
      </w:r>
    </w:p>
    <w:p>
      <w:pPr>
        <w:widowControl w:val="0"/>
        <w:jc w:val="center"/>
        <w:rPr>
          <w:rFonts w:hint="eastAsia" w:ascii="方正小标宋_GBK" w:hAnsi="方正小标宋_GBK" w:eastAsia="方正小标宋_GBK" w:cs="方正小标宋_GBK"/>
          <w:b w:val="0"/>
          <w:bCs w:val="0"/>
          <w:color w:val="auto"/>
          <w:kern w:val="2"/>
          <w:sz w:val="32"/>
          <w:szCs w:val="32"/>
          <w:lang w:val="en-US" w:eastAsia="zh-CN" w:bidi="ar-SA"/>
        </w:rPr>
      </w:pPr>
      <w:r>
        <w:rPr>
          <w:rFonts w:hint="eastAsia" w:ascii="方正小标宋_GBK" w:hAnsi="方正小标宋_GBK" w:eastAsia="方正小标宋_GBK" w:cs="方正小标宋_GBK"/>
          <w:b w:val="0"/>
          <w:bCs w:val="0"/>
          <w:color w:val="auto"/>
          <w:kern w:val="2"/>
          <w:sz w:val="32"/>
          <w:szCs w:val="32"/>
          <w:lang w:val="en-US" w:eastAsia="zh-CN" w:bidi="ar-SA"/>
        </w:rPr>
        <w:t>商务要求偏离表</w:t>
      </w:r>
    </w:p>
    <w:tbl>
      <w:tblPr>
        <w:tblStyle w:val="18"/>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4010"/>
        <w:gridCol w:w="1525"/>
        <w:gridCol w:w="1395"/>
        <w:gridCol w:w="1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925" w:type="dxa"/>
            <w:vAlign w:val="center"/>
          </w:tcPr>
          <w:p>
            <w:pPr>
              <w:bidi w:val="0"/>
              <w:jc w:val="center"/>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eastAsia="仿宋_GB2312" w:cs="仿宋_GB2312"/>
                <w:b/>
                <w:bCs/>
                <w:color w:val="auto"/>
                <w:sz w:val="21"/>
                <w:szCs w:val="21"/>
                <w:vertAlign w:val="baseline"/>
                <w:lang w:val="en-US" w:eastAsia="zh-CN"/>
              </w:rPr>
              <w:t>序号</w:t>
            </w:r>
          </w:p>
        </w:tc>
        <w:tc>
          <w:tcPr>
            <w:tcW w:w="4010" w:type="dxa"/>
            <w:vAlign w:val="center"/>
          </w:tcPr>
          <w:p>
            <w:pPr>
              <w:bidi w:val="0"/>
              <w:jc w:val="center"/>
              <w:rPr>
                <w:rFonts w:hint="eastAsia" w:ascii="仿宋_GB2312" w:hAnsi="仿宋_GB2312" w:eastAsia="仿宋_GB2312" w:cs="仿宋_GB2312"/>
                <w:b/>
                <w:bCs/>
                <w:i w:val="0"/>
                <w:iCs w:val="0"/>
                <w:caps w:val="0"/>
                <w:color w:val="auto"/>
                <w:spacing w:val="0"/>
                <w:sz w:val="21"/>
                <w:szCs w:val="21"/>
                <w:shd w:val="clear" w:fill="FFFFFF"/>
              </w:rPr>
            </w:pPr>
            <w:r>
              <w:rPr>
                <w:rFonts w:hint="eastAsia" w:ascii="仿宋_GB2312" w:hAnsi="仿宋_GB2312" w:eastAsia="仿宋_GB2312" w:cs="仿宋_GB2312"/>
                <w:b/>
                <w:bCs/>
                <w:i w:val="0"/>
                <w:iCs w:val="0"/>
                <w:caps w:val="0"/>
                <w:color w:val="auto"/>
                <w:spacing w:val="0"/>
                <w:sz w:val="21"/>
                <w:szCs w:val="21"/>
                <w:shd w:val="clear" w:fill="FFFFFF"/>
              </w:rPr>
              <w:t>采购文件商务要求内容</w:t>
            </w:r>
          </w:p>
        </w:tc>
        <w:tc>
          <w:tcPr>
            <w:tcW w:w="1525" w:type="dxa"/>
            <w:vAlign w:val="center"/>
          </w:tcPr>
          <w:p>
            <w:pPr>
              <w:bidi w:val="0"/>
              <w:jc w:val="center"/>
              <w:rPr>
                <w:rFonts w:hint="eastAsia" w:ascii="仿宋_GB2312" w:hAnsi="仿宋_GB2312" w:eastAsia="仿宋_GB2312" w:cs="仿宋_GB2312"/>
                <w:b/>
                <w:bCs/>
                <w:i w:val="0"/>
                <w:iCs w:val="0"/>
                <w:caps w:val="0"/>
                <w:color w:val="auto"/>
                <w:spacing w:val="0"/>
                <w:sz w:val="21"/>
                <w:szCs w:val="21"/>
                <w:shd w:val="clear" w:fill="FFFFFF"/>
              </w:rPr>
            </w:pPr>
            <w:r>
              <w:rPr>
                <w:rFonts w:hint="eastAsia" w:ascii="仿宋_GB2312" w:hAnsi="仿宋_GB2312" w:eastAsia="仿宋_GB2312" w:cs="仿宋_GB2312"/>
                <w:b/>
                <w:bCs/>
                <w:i w:val="0"/>
                <w:iCs w:val="0"/>
                <w:caps w:val="0"/>
                <w:color w:val="auto"/>
                <w:spacing w:val="0"/>
                <w:sz w:val="21"/>
                <w:szCs w:val="21"/>
                <w:shd w:val="clear" w:fill="FFFFFF"/>
              </w:rPr>
              <w:t>响应内容</w:t>
            </w:r>
          </w:p>
        </w:tc>
        <w:tc>
          <w:tcPr>
            <w:tcW w:w="1395" w:type="dxa"/>
            <w:vAlign w:val="center"/>
          </w:tcPr>
          <w:p>
            <w:pPr>
              <w:bidi w:val="0"/>
              <w:jc w:val="center"/>
              <w:rPr>
                <w:rFonts w:hint="eastAsia" w:ascii="仿宋_GB2312" w:hAnsi="仿宋_GB2312" w:eastAsia="仿宋_GB2312" w:cs="仿宋_GB2312"/>
                <w:b/>
                <w:bCs/>
                <w:i w:val="0"/>
                <w:iCs w:val="0"/>
                <w:caps w:val="0"/>
                <w:color w:val="auto"/>
                <w:spacing w:val="0"/>
                <w:sz w:val="21"/>
                <w:szCs w:val="21"/>
                <w:shd w:val="clear" w:fill="FFFFFF"/>
              </w:rPr>
            </w:pPr>
            <w:r>
              <w:rPr>
                <w:rFonts w:hint="eastAsia" w:ascii="仿宋_GB2312" w:hAnsi="仿宋_GB2312" w:eastAsia="仿宋_GB2312" w:cs="仿宋_GB2312"/>
                <w:b/>
                <w:bCs/>
                <w:i w:val="0"/>
                <w:iCs w:val="0"/>
                <w:caps w:val="0"/>
                <w:color w:val="auto"/>
                <w:spacing w:val="0"/>
                <w:sz w:val="21"/>
                <w:szCs w:val="21"/>
                <w:shd w:val="clear" w:fill="FFFFFF"/>
                <w:lang w:val="en-US" w:eastAsia="zh-CN"/>
              </w:rPr>
              <w:t>偏离说明</w:t>
            </w:r>
          </w:p>
        </w:tc>
        <w:tc>
          <w:tcPr>
            <w:tcW w:w="1202" w:type="dxa"/>
            <w:vAlign w:val="center"/>
          </w:tcPr>
          <w:p>
            <w:pPr>
              <w:bidi w:val="0"/>
              <w:jc w:val="center"/>
              <w:rPr>
                <w:rFonts w:hint="eastAsia" w:ascii="仿宋_GB2312" w:hAnsi="仿宋_GB2312" w:eastAsia="仿宋_GB2312" w:cs="仿宋_GB2312"/>
                <w:b/>
                <w:bCs/>
                <w:i w:val="0"/>
                <w:iCs w:val="0"/>
                <w:caps w:val="0"/>
                <w:color w:val="auto"/>
                <w:spacing w:val="0"/>
                <w:sz w:val="21"/>
                <w:szCs w:val="21"/>
                <w:shd w:val="clear" w:fill="FFFFFF"/>
                <w:lang w:val="en-US" w:eastAsia="zh-CN"/>
              </w:rPr>
            </w:pPr>
            <w:r>
              <w:rPr>
                <w:rFonts w:hint="eastAsia" w:ascii="仿宋_GB2312" w:hAnsi="仿宋_GB2312" w:eastAsia="仿宋_GB2312" w:cs="仿宋_GB2312"/>
                <w:b/>
                <w:bCs/>
                <w:i w:val="0"/>
                <w:iCs w:val="0"/>
                <w:caps w:val="0"/>
                <w:color w:val="auto"/>
                <w:spacing w:val="0"/>
                <w:sz w:val="21"/>
                <w:szCs w:val="21"/>
                <w:shd w:val="clear" w:fill="FFFFFF"/>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1</w:t>
            </w:r>
          </w:p>
        </w:tc>
        <w:tc>
          <w:tcPr>
            <w:tcW w:w="4010" w:type="dxa"/>
            <w:vAlign w:val="center"/>
          </w:tcPr>
          <w:p>
            <w:pPr>
              <w:bidi w:val="0"/>
              <w:jc w:val="both"/>
              <w:rPr>
                <w:rFonts w:hint="eastAsia" w:ascii="仿宋_GB2312" w:hAnsi="仿宋_GB2312" w:eastAsia="仿宋_GB2312" w:cs="仿宋_GB2312"/>
                <w:b/>
                <w:bCs/>
                <w:color w:val="auto"/>
                <w:sz w:val="21"/>
                <w:szCs w:val="21"/>
                <w:vertAlign w:val="baseline"/>
              </w:rPr>
            </w:pPr>
            <w:r>
              <w:rPr>
                <w:rFonts w:hint="eastAsia" w:ascii="仿宋_GB2312" w:hAnsi="仿宋_GB2312" w:eastAsia="仿宋_GB2312" w:cs="仿宋_GB2312"/>
                <w:b/>
                <w:bCs/>
                <w:color w:val="auto"/>
                <w:sz w:val="21"/>
                <w:szCs w:val="21"/>
                <w:vertAlign w:val="baseline"/>
              </w:rPr>
              <w:t>报价必须包含本项目实施所需全部费用，包含但不限于：</w:t>
            </w:r>
          </w:p>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color w:val="auto"/>
                <w:sz w:val="21"/>
                <w:szCs w:val="21"/>
                <w:vertAlign w:val="baseline"/>
              </w:rPr>
              <w:t>1.投标报价、利润及风险由供应商自行考虑（包括柳州市人民政府调整最低工资标准后，按实际情况增加人工费及相应保险费用）；</w:t>
            </w:r>
          </w:p>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color w:val="auto"/>
                <w:sz w:val="21"/>
                <w:szCs w:val="21"/>
                <w:vertAlign w:val="baseline"/>
              </w:rPr>
              <w:t>2.成交供应商须按照国家及省市的相关规定为拟投入本项目人员统一办理失业保险、医疗保险、社会保险和人员意外伤害等保险并承担相关费用。</w:t>
            </w:r>
          </w:p>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color w:val="auto"/>
                <w:sz w:val="21"/>
                <w:szCs w:val="21"/>
                <w:vertAlign w:val="baseline"/>
              </w:rPr>
              <w:t>3.成交供应商须承担拟投入本项目人员工资、法定社保及福利、管理费、税费等相关费用。</w:t>
            </w:r>
          </w:p>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color w:val="auto"/>
                <w:sz w:val="21"/>
                <w:szCs w:val="21"/>
                <w:vertAlign w:val="baseline"/>
              </w:rPr>
              <w:t>4.税费由成交供应商按国家规定依法缴纳。</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2</w:t>
            </w:r>
          </w:p>
        </w:tc>
        <w:tc>
          <w:tcPr>
            <w:tcW w:w="4010" w:type="dxa"/>
            <w:vAlign w:val="center"/>
          </w:tcPr>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b/>
                <w:bCs/>
                <w:i w:val="0"/>
                <w:iCs w:val="0"/>
                <w:caps w:val="0"/>
                <w:color w:val="auto"/>
                <w:spacing w:val="0"/>
                <w:sz w:val="21"/>
                <w:szCs w:val="21"/>
                <w:shd w:val="clear" w:fill="FFFFFF"/>
              </w:rPr>
              <w:t>服务期限</w:t>
            </w:r>
            <w:r>
              <w:rPr>
                <w:rFonts w:hint="eastAsia" w:ascii="仿宋_GB2312" w:hAnsi="仿宋_GB2312" w:eastAsia="仿宋_GB2312" w:cs="仿宋_GB2312"/>
                <w:i w:val="0"/>
                <w:iCs w:val="0"/>
                <w:caps w:val="0"/>
                <w:color w:val="auto"/>
                <w:spacing w:val="0"/>
                <w:sz w:val="21"/>
                <w:szCs w:val="21"/>
                <w:shd w:val="clear" w:fill="FFFFFF"/>
              </w:rPr>
              <w:t>：45个工作日，以合同约定日期为准。</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3</w:t>
            </w:r>
          </w:p>
        </w:tc>
        <w:tc>
          <w:tcPr>
            <w:tcW w:w="4010" w:type="dxa"/>
            <w:vAlign w:val="center"/>
          </w:tcPr>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b/>
                <w:bCs/>
                <w:i w:val="0"/>
                <w:iCs w:val="0"/>
                <w:caps w:val="0"/>
                <w:color w:val="auto"/>
                <w:spacing w:val="0"/>
                <w:sz w:val="21"/>
                <w:szCs w:val="21"/>
                <w:shd w:val="clear" w:fill="FFFFFF"/>
              </w:rPr>
              <w:t>售后服务</w:t>
            </w:r>
            <w:r>
              <w:rPr>
                <w:rFonts w:hint="eastAsia" w:ascii="仿宋_GB2312" w:hAnsi="仿宋_GB2312" w:eastAsia="仿宋_GB2312" w:cs="仿宋_GB2312"/>
                <w:b/>
                <w:bCs/>
                <w:i w:val="0"/>
                <w:iCs w:val="0"/>
                <w:caps w:val="0"/>
                <w:color w:val="auto"/>
                <w:spacing w:val="0"/>
                <w:sz w:val="21"/>
                <w:szCs w:val="21"/>
                <w:shd w:val="clear" w:fill="FFFFFF"/>
                <w:lang w:val="en-US" w:eastAsia="zh-CN"/>
              </w:rPr>
              <w:t>要求</w:t>
            </w:r>
            <w:r>
              <w:rPr>
                <w:rFonts w:hint="eastAsia" w:ascii="仿宋_GB2312" w:hAnsi="仿宋_GB2312" w:eastAsia="仿宋_GB2312" w:cs="仿宋_GB2312"/>
                <w:b w:val="0"/>
                <w:bCs w:val="0"/>
                <w:i w:val="0"/>
                <w:iCs w:val="0"/>
                <w:caps w:val="0"/>
                <w:color w:val="auto"/>
                <w:spacing w:val="0"/>
                <w:sz w:val="21"/>
                <w:szCs w:val="21"/>
                <w:shd w:val="clear" w:fill="FFFFFF"/>
              </w:rPr>
              <w:t>：处理问题响应时间：接到通知后5小时内到达采购人指定地点。</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4</w:t>
            </w:r>
          </w:p>
        </w:tc>
        <w:tc>
          <w:tcPr>
            <w:tcW w:w="4010" w:type="dxa"/>
            <w:vAlign w:val="center"/>
          </w:tcPr>
          <w:p>
            <w:pPr>
              <w:rPr>
                <w:rFonts w:hint="eastAsia" w:ascii="仿宋_GB2312" w:hAnsi="仿宋_GB2312" w:eastAsia="仿宋_GB2312" w:cs="仿宋_GB2312"/>
                <w:b/>
                <w:bCs/>
                <w:i w:val="0"/>
                <w:iCs w:val="0"/>
                <w:caps w:val="0"/>
                <w:color w:val="auto"/>
                <w:spacing w:val="0"/>
                <w:sz w:val="21"/>
                <w:szCs w:val="21"/>
                <w:shd w:val="clear" w:fill="FFFFFF"/>
              </w:rPr>
            </w:pPr>
            <w:r>
              <w:rPr>
                <w:rFonts w:hint="eastAsia" w:ascii="仿宋_GB2312" w:hAnsi="仿宋_GB2312" w:eastAsia="仿宋_GB2312" w:cs="仿宋_GB2312"/>
                <w:b/>
                <w:bCs/>
                <w:i w:val="0"/>
                <w:iCs w:val="0"/>
                <w:caps w:val="0"/>
                <w:color w:val="auto"/>
                <w:spacing w:val="0"/>
                <w:sz w:val="21"/>
                <w:szCs w:val="21"/>
                <w:shd w:val="clear" w:fill="FFFFFF"/>
              </w:rPr>
              <w:t>服务标准及要求：</w:t>
            </w:r>
          </w:p>
          <w:p>
            <w:pPr>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sz w:val="21"/>
                <w:szCs w:val="21"/>
              </w:rPr>
              <w:t>1.严格执行国家、行业强制性标准及规范；</w:t>
            </w:r>
          </w:p>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b w:val="0"/>
                <w:bCs w:val="0"/>
                <w:color w:val="auto"/>
                <w:sz w:val="21"/>
                <w:szCs w:val="21"/>
              </w:rPr>
              <w:t>2.完全满足本项目招标文件全部技术、服务要求及供应商投标响应承诺标准。</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5</w:t>
            </w:r>
          </w:p>
        </w:tc>
        <w:tc>
          <w:tcPr>
            <w:tcW w:w="4010" w:type="dxa"/>
            <w:vAlign w:val="center"/>
          </w:tcPr>
          <w:p>
            <w:pPr>
              <w:bidi w:val="0"/>
              <w:jc w:val="both"/>
              <w:rPr>
                <w:rFonts w:hint="eastAsia" w:ascii="仿宋_GB2312" w:hAnsi="仿宋_GB2312" w:eastAsia="仿宋_GB2312" w:cs="仿宋_GB2312"/>
                <w:b/>
                <w:bCs/>
                <w:i w:val="0"/>
                <w:iCs w:val="0"/>
                <w:caps w:val="0"/>
                <w:color w:val="auto"/>
                <w:spacing w:val="0"/>
                <w:sz w:val="21"/>
                <w:szCs w:val="21"/>
                <w:shd w:val="clear" w:fill="FFFFFF"/>
              </w:rPr>
            </w:pPr>
            <w:r>
              <w:rPr>
                <w:rFonts w:hint="eastAsia" w:ascii="仿宋_GB2312" w:hAnsi="仿宋_GB2312" w:eastAsia="仿宋_GB2312" w:cs="仿宋_GB2312"/>
                <w:b/>
                <w:bCs/>
                <w:i w:val="0"/>
                <w:iCs w:val="0"/>
                <w:caps w:val="0"/>
                <w:color w:val="auto"/>
                <w:spacing w:val="0"/>
                <w:sz w:val="21"/>
                <w:szCs w:val="21"/>
                <w:shd w:val="clear" w:fill="FFFFFF"/>
              </w:rPr>
              <w:t>提供服务时间及地点：</w:t>
            </w:r>
          </w:p>
          <w:p>
            <w:pPr>
              <w:bidi w:val="0"/>
              <w:jc w:val="both"/>
              <w:rPr>
                <w:rFonts w:hint="eastAsia" w:ascii="仿宋_GB2312" w:hAnsi="仿宋_GB2312" w:eastAsia="仿宋_GB2312" w:cs="仿宋_GB2312"/>
                <w:b w:val="0"/>
                <w:bCs w:val="0"/>
                <w:i w:val="0"/>
                <w:iCs w:val="0"/>
                <w:caps w:val="0"/>
                <w:color w:val="auto"/>
                <w:spacing w:val="0"/>
                <w:sz w:val="21"/>
                <w:szCs w:val="21"/>
                <w:shd w:val="clear" w:fill="FFFFFF"/>
              </w:rPr>
            </w:pPr>
            <w:r>
              <w:rPr>
                <w:rFonts w:hint="eastAsia" w:ascii="仿宋_GB2312" w:hAnsi="仿宋_GB2312" w:eastAsia="仿宋_GB2312" w:cs="仿宋_GB2312"/>
                <w:b w:val="0"/>
                <w:bCs w:val="0"/>
                <w:i w:val="0"/>
                <w:iCs w:val="0"/>
                <w:caps w:val="0"/>
                <w:color w:val="auto"/>
                <w:spacing w:val="0"/>
                <w:sz w:val="21"/>
                <w:szCs w:val="21"/>
                <w:shd w:val="clear" w:fill="FFFFFF"/>
              </w:rPr>
              <w:t>1.提供服务时间：自合同约定提供服务之日起5日内办理好能源审计服务交接手续并提供服务；</w:t>
            </w:r>
          </w:p>
          <w:p>
            <w:pPr>
              <w:bidi w:val="0"/>
              <w:jc w:val="both"/>
              <w:rPr>
                <w:rFonts w:hint="eastAsia" w:ascii="仿宋_GB2312" w:hAnsi="仿宋_GB2312" w:eastAsia="仿宋_GB2312" w:cs="仿宋_GB2312"/>
                <w:b w:val="0"/>
                <w:bCs w:val="0"/>
                <w:i w:val="0"/>
                <w:iCs w:val="0"/>
                <w:caps w:val="0"/>
                <w:color w:val="auto"/>
                <w:spacing w:val="0"/>
                <w:sz w:val="21"/>
                <w:szCs w:val="21"/>
                <w:shd w:val="clear" w:fill="FFFFFF"/>
              </w:rPr>
            </w:pPr>
            <w:r>
              <w:rPr>
                <w:rFonts w:hint="eastAsia" w:ascii="仿宋_GB2312" w:hAnsi="仿宋_GB2312" w:eastAsia="仿宋_GB2312" w:cs="仿宋_GB2312"/>
                <w:b w:val="0"/>
                <w:bCs w:val="0"/>
                <w:i w:val="0"/>
                <w:iCs w:val="0"/>
                <w:caps w:val="0"/>
                <w:color w:val="auto"/>
                <w:spacing w:val="0"/>
                <w:sz w:val="21"/>
                <w:szCs w:val="21"/>
                <w:shd w:val="clear" w:fill="FFFFFF"/>
              </w:rPr>
              <w:t>2.服务地点：广西柳州市（采购人指定地点）。</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6</w:t>
            </w:r>
          </w:p>
        </w:tc>
        <w:tc>
          <w:tcPr>
            <w:tcW w:w="4010" w:type="dxa"/>
            <w:vAlign w:val="center"/>
          </w:tcPr>
          <w:p>
            <w:pPr>
              <w:bidi w:val="0"/>
              <w:jc w:val="both"/>
              <w:rPr>
                <w:rFonts w:hint="eastAsia" w:ascii="仿宋_GB2312" w:hAnsi="仿宋_GB2312" w:eastAsia="仿宋_GB2312" w:cs="仿宋_GB2312"/>
                <w:b w:val="0"/>
                <w:bCs w:val="0"/>
                <w:i w:val="0"/>
                <w:iCs w:val="0"/>
                <w:caps w:val="0"/>
                <w:color w:val="auto"/>
                <w:spacing w:val="0"/>
                <w:sz w:val="21"/>
                <w:szCs w:val="21"/>
                <w:shd w:val="clear" w:fill="FFFFFF"/>
              </w:rPr>
            </w:pPr>
            <w:r>
              <w:rPr>
                <w:rFonts w:hint="eastAsia" w:ascii="仿宋_GB2312" w:hAnsi="仿宋_GB2312" w:eastAsia="仿宋_GB2312" w:cs="仿宋_GB2312"/>
                <w:b/>
                <w:bCs/>
                <w:i w:val="0"/>
                <w:iCs w:val="0"/>
                <w:caps w:val="0"/>
                <w:color w:val="auto"/>
                <w:spacing w:val="0"/>
                <w:sz w:val="21"/>
                <w:szCs w:val="21"/>
                <w:shd w:val="clear" w:fill="FFFFFF"/>
              </w:rPr>
              <w:t>服务承包方式：</w:t>
            </w:r>
            <w:r>
              <w:rPr>
                <w:rFonts w:hint="eastAsia" w:ascii="仿宋_GB2312" w:hAnsi="仿宋_GB2312" w:eastAsia="仿宋_GB2312" w:cs="仿宋_GB2312"/>
                <w:b w:val="0"/>
                <w:bCs w:val="0"/>
                <w:i w:val="0"/>
                <w:iCs w:val="0"/>
                <w:caps w:val="0"/>
                <w:color w:val="auto"/>
                <w:spacing w:val="0"/>
                <w:sz w:val="21"/>
                <w:szCs w:val="21"/>
                <w:shd w:val="clear" w:fill="FFFFFF"/>
              </w:rPr>
              <w:t>费用总包干制。</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7</w:t>
            </w:r>
          </w:p>
        </w:tc>
        <w:tc>
          <w:tcPr>
            <w:tcW w:w="4010" w:type="dxa"/>
            <w:vAlign w:val="center"/>
          </w:tcPr>
          <w:p>
            <w:pPr>
              <w:bidi w:val="0"/>
              <w:jc w:val="both"/>
              <w:rPr>
                <w:rFonts w:hint="eastAsia" w:ascii="仿宋_GB2312" w:hAnsi="仿宋_GB2312" w:eastAsia="仿宋_GB2312" w:cs="仿宋_GB2312"/>
                <w:color w:val="auto"/>
                <w:sz w:val="21"/>
                <w:szCs w:val="21"/>
                <w:vertAlign w:val="baseline"/>
              </w:rPr>
            </w:pPr>
            <w:r>
              <w:rPr>
                <w:rFonts w:hint="eastAsia" w:ascii="仿宋_GB2312" w:hAnsi="仿宋_GB2312" w:eastAsia="仿宋_GB2312" w:cs="仿宋_GB2312"/>
                <w:b/>
                <w:bCs/>
                <w:color w:val="auto"/>
                <w:sz w:val="21"/>
                <w:szCs w:val="21"/>
                <w:vertAlign w:val="baseline"/>
              </w:rPr>
              <w:t>付款方式：</w:t>
            </w:r>
            <w:r>
              <w:rPr>
                <w:rFonts w:hint="eastAsia" w:ascii="仿宋_GB2312" w:hAnsi="仿宋_GB2312" w:eastAsia="仿宋_GB2312" w:cs="仿宋_GB2312"/>
                <w:color w:val="auto"/>
                <w:sz w:val="21"/>
                <w:szCs w:val="21"/>
                <w:vertAlign w:val="baseline"/>
              </w:rPr>
              <w:t>自服务成果验收合格之日起30日内，由采购人按程序一次性付清合同价款（不计利息）。</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 w:type="dxa"/>
            <w:vAlign w:val="center"/>
          </w:tcPr>
          <w:p>
            <w:pPr>
              <w:bidi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8</w:t>
            </w:r>
          </w:p>
        </w:tc>
        <w:tc>
          <w:tcPr>
            <w:tcW w:w="4010" w:type="dxa"/>
            <w:vAlign w:val="center"/>
          </w:tcPr>
          <w:p>
            <w:pPr>
              <w:bidi w:val="0"/>
              <w:jc w:val="both"/>
              <w:rPr>
                <w:rFonts w:hint="eastAsia" w:ascii="仿宋_GB2312" w:hAnsi="仿宋_GB2312" w:eastAsia="仿宋_GB2312" w:cs="仿宋_GB2312"/>
                <w:color w:val="auto"/>
                <w:sz w:val="21"/>
                <w:szCs w:val="21"/>
                <w:vertAlign w:val="baseline"/>
                <w:lang w:eastAsia="zh-CN"/>
              </w:rPr>
            </w:pPr>
            <w:r>
              <w:rPr>
                <w:rFonts w:hint="eastAsia" w:ascii="仿宋_GB2312" w:hAnsi="仿宋_GB2312" w:eastAsia="仿宋_GB2312" w:cs="仿宋_GB2312"/>
                <w:b/>
                <w:bCs/>
                <w:color w:val="auto"/>
                <w:sz w:val="21"/>
                <w:szCs w:val="21"/>
              </w:rPr>
              <w:t>知识产权要求</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i w:val="0"/>
                <w:iCs w:val="0"/>
                <w:caps w:val="0"/>
                <w:color w:val="auto"/>
                <w:spacing w:val="0"/>
                <w:sz w:val="21"/>
                <w:szCs w:val="21"/>
                <w:shd w:val="clear" w:fill="FFFFFF"/>
              </w:rPr>
              <w:t>供应商应保证竞标所涉及到的知识产权和所提供的相关技术资料是合法取得，并享有完整的知识产权，不会因知识产权问题被责令停止使用、追偿或要求赔偿损失，如出现此情况，一切经济和法律责任均由供应商承担。</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25" w:type="dxa"/>
            <w:vAlign w:val="center"/>
          </w:tcPr>
          <w:p>
            <w:pPr>
              <w:bidi w:val="0"/>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9</w:t>
            </w:r>
          </w:p>
        </w:tc>
        <w:tc>
          <w:tcPr>
            <w:tcW w:w="4010" w:type="dxa"/>
            <w:vAlign w:val="center"/>
          </w:tcPr>
          <w:p>
            <w:pPr>
              <w:jc w:val="both"/>
              <w:rPr>
                <w:rFonts w:hint="eastAsia" w:ascii="仿宋_GB2312" w:hAnsi="仿宋_GB2312" w:eastAsia="仿宋_GB2312" w:cs="仿宋_GB2312"/>
                <w:b/>
                <w:bCs w:val="0"/>
                <w:color w:val="auto"/>
                <w:sz w:val="21"/>
                <w:szCs w:val="21"/>
                <w:lang w:eastAsia="zh-CN"/>
              </w:rPr>
            </w:pPr>
            <w:r>
              <w:rPr>
                <w:rFonts w:hint="eastAsia" w:ascii="仿宋_GB2312" w:hAnsi="仿宋_GB2312" w:eastAsia="仿宋_GB2312" w:cs="仿宋_GB2312"/>
                <w:b/>
                <w:bCs w:val="0"/>
                <w:color w:val="auto"/>
                <w:sz w:val="21"/>
                <w:szCs w:val="21"/>
              </w:rPr>
              <w:t>验收标准及要求</w:t>
            </w:r>
            <w:r>
              <w:rPr>
                <w:rFonts w:hint="eastAsia" w:ascii="仿宋_GB2312" w:hAnsi="仿宋_GB2312" w:eastAsia="仿宋_GB2312" w:cs="仿宋_GB2312"/>
                <w:b/>
                <w:bCs w:val="0"/>
                <w:color w:val="auto"/>
                <w:sz w:val="21"/>
                <w:szCs w:val="21"/>
                <w:lang w:eastAsia="zh-CN"/>
              </w:rPr>
              <w:t>：</w:t>
            </w:r>
          </w:p>
          <w:p>
            <w:pPr>
              <w:jc w:val="both"/>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1"/>
                <w:szCs w:val="21"/>
              </w:rPr>
              <w:t>1.本项目验收严格遵照《中华人民共和国民法典》《公共机构能源审计管理暂行办法》《公共机构能源审计技术导则》（GB/T31342-2</w:t>
            </w:r>
            <w:r>
              <w:rPr>
                <w:rFonts w:hint="eastAsia" w:ascii="仿宋_GB2312" w:hAnsi="仿宋_GB2312" w:eastAsia="仿宋_GB2312" w:cs="仿宋_GB2312"/>
                <w:b w:val="0"/>
                <w:bCs/>
                <w:color w:val="auto"/>
                <w:sz w:val="21"/>
                <w:szCs w:val="21"/>
                <w:lang w:val="en-US" w:eastAsia="zh-CN"/>
              </w:rPr>
              <w:t>014</w:t>
            </w:r>
            <w:r>
              <w:rPr>
                <w:rFonts w:hint="eastAsia" w:ascii="仿宋_GB2312" w:hAnsi="仿宋_GB2312" w:eastAsia="仿宋_GB2312" w:cs="仿宋_GB2312"/>
                <w:b w:val="0"/>
                <w:bCs/>
                <w:color w:val="auto"/>
                <w:sz w:val="21"/>
                <w:szCs w:val="21"/>
              </w:rPr>
              <w:t>）及国家、地方相关行业标准执行，同时以本项目采购文件、响应文件、正式服务合同约定内容作为核心验收依据。</w:t>
            </w:r>
            <w:r>
              <w:rPr>
                <w:rFonts w:hint="eastAsia" w:ascii="仿宋_GB2312" w:hAnsi="仿宋_GB2312" w:eastAsia="仿宋_GB2312" w:cs="仿宋_GB2312"/>
                <w:b w:val="0"/>
                <w:bCs/>
                <w:color w:val="auto"/>
                <w:sz w:val="21"/>
                <w:szCs w:val="21"/>
              </w:rPr>
              <w:br w:type="textWrapping"/>
            </w:r>
            <w:r>
              <w:rPr>
                <w:rFonts w:hint="eastAsia" w:ascii="仿宋_GB2312" w:hAnsi="仿宋_GB2312" w:eastAsia="仿宋_GB2312" w:cs="仿宋_GB2312"/>
                <w:b w:val="0"/>
                <w:bCs/>
                <w:color w:val="auto"/>
                <w:sz w:val="21"/>
                <w:szCs w:val="21"/>
              </w:rPr>
              <w:t>2.</w:t>
            </w:r>
            <w:r>
              <w:rPr>
                <w:rFonts w:hint="eastAsia" w:ascii="仿宋_GB2312" w:hAnsi="仿宋_GB2312" w:eastAsia="仿宋_GB2312" w:cs="仿宋_GB2312"/>
                <w:b w:val="0"/>
                <w:bCs/>
                <w:color w:val="auto"/>
                <w:sz w:val="21"/>
                <w:szCs w:val="21"/>
                <w:lang w:eastAsia="zh-CN"/>
              </w:rPr>
              <w:t>采购人可以邀请</w:t>
            </w:r>
            <w:r>
              <w:rPr>
                <w:rFonts w:hint="eastAsia" w:ascii="仿宋_GB2312" w:hAnsi="仿宋_GB2312" w:eastAsia="仿宋_GB2312" w:cs="仿宋_GB2312"/>
                <w:b w:val="0"/>
                <w:bCs/>
                <w:color w:val="auto"/>
                <w:sz w:val="21"/>
                <w:szCs w:val="21"/>
              </w:rPr>
              <w:t>或委托具备相应资质的第三方专业机构开展验收工作</w:t>
            </w:r>
            <w:r>
              <w:rPr>
                <w:rFonts w:hint="eastAsia" w:ascii="仿宋_GB2312" w:hAnsi="仿宋_GB2312" w:eastAsia="仿宋_GB2312" w:cs="仿宋_GB2312"/>
                <w:b w:val="0"/>
                <w:bCs/>
                <w:color w:val="auto"/>
                <w:sz w:val="21"/>
                <w:szCs w:val="21"/>
                <w:lang w:eastAsia="zh-CN"/>
              </w:rPr>
              <w:t>。</w:t>
            </w:r>
          </w:p>
          <w:p>
            <w:pPr>
              <w:jc w:val="both"/>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1"/>
                <w:szCs w:val="21"/>
                <w:lang w:val="en-US" w:eastAsia="zh-CN"/>
              </w:rPr>
              <w:t>3.采购方在收到验收申请后的7个工作日内，组织验收小组或委托</w:t>
            </w:r>
            <w:r>
              <w:rPr>
                <w:rFonts w:hint="eastAsia" w:ascii="仿宋_GB2312" w:hAnsi="仿宋_GB2312" w:eastAsia="仿宋_GB2312" w:cs="仿宋_GB2312"/>
                <w:b w:val="0"/>
                <w:bCs/>
                <w:color w:val="auto"/>
                <w:sz w:val="21"/>
                <w:szCs w:val="21"/>
              </w:rPr>
              <w:t>具备相应资质</w:t>
            </w:r>
            <w:r>
              <w:rPr>
                <w:rFonts w:hint="eastAsia" w:ascii="仿宋_GB2312" w:hAnsi="仿宋_GB2312" w:eastAsia="仿宋_GB2312" w:cs="仿宋_GB2312"/>
                <w:b w:val="0"/>
                <w:bCs/>
                <w:color w:val="auto"/>
                <w:sz w:val="21"/>
                <w:szCs w:val="21"/>
                <w:lang w:val="en-US" w:eastAsia="zh-CN"/>
              </w:rPr>
              <w:t>第三方机构启动验收工作。</w:t>
            </w:r>
          </w:p>
          <w:p>
            <w:pPr>
              <w:jc w:val="both"/>
              <w:rPr>
                <w:rFonts w:hint="eastAsia" w:ascii="仿宋_GB2312" w:hAnsi="仿宋_GB2312" w:eastAsia="仿宋_GB2312" w:cs="仿宋_GB2312"/>
                <w:b w:val="0"/>
                <w:bCs/>
                <w:color w:val="auto"/>
                <w:sz w:val="21"/>
                <w:szCs w:val="21"/>
                <w:lang w:val="en-US" w:eastAsia="zh-CN"/>
              </w:rPr>
            </w:pPr>
            <w:r>
              <w:rPr>
                <w:rFonts w:hint="eastAsia" w:ascii="仿宋_GB2312" w:hAnsi="仿宋_GB2312" w:eastAsia="仿宋_GB2312" w:cs="仿宋_GB2312"/>
                <w:b w:val="0"/>
                <w:bCs/>
                <w:color w:val="auto"/>
                <w:sz w:val="21"/>
                <w:szCs w:val="21"/>
                <w:lang w:val="en-US" w:eastAsia="zh-CN"/>
              </w:rPr>
              <w:t>4.验收过程中如发现成果存在缺项、数据错误、内容不符合要求等问题，将向成交供应商出具书面整改通知，成交供应商需在约定期限内完成整改并重新提交验收。</w:t>
            </w:r>
          </w:p>
          <w:p>
            <w:pPr>
              <w:bidi w:val="0"/>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b w:val="0"/>
                <w:bCs/>
                <w:color w:val="auto"/>
                <w:sz w:val="21"/>
                <w:szCs w:val="21"/>
                <w:lang w:val="en-US" w:eastAsia="zh-CN"/>
              </w:rPr>
              <w:t>5.成交供应商完成全部服务内容并通过验收后，向采购方提交全套审计成果资料。</w:t>
            </w:r>
          </w:p>
        </w:tc>
        <w:tc>
          <w:tcPr>
            <w:tcW w:w="1525" w:type="dxa"/>
            <w:vAlign w:val="center"/>
          </w:tcPr>
          <w:p>
            <w:pPr>
              <w:bidi w:val="0"/>
              <w:jc w:val="center"/>
              <w:rPr>
                <w:rFonts w:hint="eastAsia" w:ascii="仿宋_GB2312" w:hAnsi="仿宋_GB2312" w:eastAsia="仿宋_GB2312" w:cs="仿宋_GB2312"/>
                <w:color w:val="auto"/>
                <w:sz w:val="21"/>
                <w:szCs w:val="21"/>
                <w:vertAlign w:val="baseline"/>
              </w:rPr>
            </w:pPr>
          </w:p>
        </w:tc>
        <w:tc>
          <w:tcPr>
            <w:tcW w:w="1395" w:type="dxa"/>
            <w:vAlign w:val="center"/>
          </w:tcPr>
          <w:p>
            <w:pPr>
              <w:bidi w:val="0"/>
              <w:jc w:val="center"/>
              <w:rPr>
                <w:rFonts w:hint="eastAsia" w:ascii="仿宋_GB2312" w:hAnsi="仿宋_GB2312" w:eastAsia="仿宋_GB2312" w:cs="仿宋_GB2312"/>
                <w:color w:val="auto"/>
                <w:sz w:val="21"/>
                <w:szCs w:val="21"/>
                <w:vertAlign w:val="baseline"/>
              </w:rPr>
            </w:pPr>
          </w:p>
        </w:tc>
        <w:tc>
          <w:tcPr>
            <w:tcW w:w="1202" w:type="dxa"/>
            <w:vAlign w:val="center"/>
          </w:tcPr>
          <w:p>
            <w:pPr>
              <w:bidi w:val="0"/>
              <w:jc w:val="center"/>
              <w:rPr>
                <w:rFonts w:hint="eastAsia" w:ascii="仿宋_GB2312" w:hAnsi="仿宋_GB2312" w:eastAsia="仿宋_GB2312" w:cs="仿宋_GB2312"/>
                <w:color w:val="auto"/>
                <w:sz w:val="21"/>
                <w:szCs w:val="21"/>
                <w:vertAlign w:val="baseline"/>
              </w:rPr>
            </w:pPr>
          </w:p>
        </w:tc>
      </w:tr>
    </w:tbl>
    <w:p>
      <w:pPr>
        <w:spacing w:line="390" w:lineRule="exact"/>
        <w:ind w:right="-168" w:rightChars="-80" w:firstLine="435"/>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说明：</w:t>
      </w:r>
    </w:p>
    <w:p>
      <w:pPr>
        <w:spacing w:line="390" w:lineRule="exact"/>
        <w:ind w:right="-168" w:rightChars="-80" w:firstLine="435"/>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1.逐条对照采购文件要求，在“响应内容”中如实说明供应商的响应情况。</w:t>
      </w:r>
    </w:p>
    <w:p>
      <w:pPr>
        <w:spacing w:line="390" w:lineRule="exact"/>
        <w:ind w:right="-168" w:rightChars="-80" w:firstLine="435"/>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2.在“偏离说明”中注明“正偏离”、“负偏离”或者“无偏离”。既不属于“正偏离”也不属于“负偏离”即为“无偏离”。</w:t>
      </w:r>
    </w:p>
    <w:p>
      <w:pPr>
        <w:spacing w:line="390" w:lineRule="exact"/>
        <w:ind w:right="-168" w:rightChars="-80" w:firstLine="435"/>
        <w:rPr>
          <w:rFonts w:hint="eastAsia" w:ascii="仿宋_GB2312" w:hAnsi="仿宋_GB2312" w:eastAsia="仿宋_GB2312" w:cs="仿宋_GB2312"/>
          <w:b w:val="0"/>
          <w:bCs/>
          <w:color w:val="auto"/>
          <w:sz w:val="24"/>
          <w:highlight w:val="none"/>
          <w:lang w:val="en-US" w:eastAsia="zh-CN"/>
        </w:rPr>
      </w:pPr>
    </w:p>
    <w:p>
      <w:pPr>
        <w:spacing w:line="390" w:lineRule="exact"/>
        <w:ind w:right="-168" w:rightChars="-80" w:firstLine="435"/>
        <w:rPr>
          <w:rFonts w:hint="eastAsia" w:ascii="仿宋_GB2312" w:hAnsi="仿宋_GB2312" w:eastAsia="仿宋_GB2312" w:cs="仿宋_GB2312"/>
          <w:b w:val="0"/>
          <w:bCs/>
          <w:color w:val="auto"/>
          <w:sz w:val="24"/>
          <w:highlight w:val="none"/>
          <w:lang w:val="en-US" w:eastAsia="zh-CN"/>
        </w:rPr>
      </w:pPr>
    </w:p>
    <w:p>
      <w:pPr>
        <w:spacing w:line="390" w:lineRule="exact"/>
        <w:ind w:right="-168" w:rightChars="-80" w:firstLine="435"/>
        <w:rPr>
          <w:rFonts w:hint="eastAsia" w:ascii="仿宋_GB2312" w:hAnsi="仿宋_GB2312" w:eastAsia="仿宋_GB2312" w:cs="仿宋_GB2312"/>
          <w:b w:val="0"/>
          <w:bCs/>
          <w:color w:val="auto"/>
          <w:sz w:val="24"/>
          <w:highlight w:val="none"/>
          <w:lang w:val="en-US" w:eastAsia="zh-CN"/>
        </w:rPr>
      </w:pPr>
    </w:p>
    <w:p>
      <w:pPr>
        <w:spacing w:line="390" w:lineRule="exact"/>
        <w:ind w:right="-168" w:rightChars="-80" w:firstLine="435"/>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lang w:val="en-US" w:eastAsia="zh-CN"/>
        </w:rPr>
        <w:t>服务</w:t>
      </w:r>
      <w:r>
        <w:rPr>
          <w:rFonts w:hint="eastAsia" w:ascii="仿宋_GB2312" w:hAnsi="仿宋_GB2312" w:eastAsia="仿宋_GB2312" w:cs="仿宋_GB2312"/>
          <w:b w:val="0"/>
          <w:bCs/>
          <w:color w:val="auto"/>
          <w:sz w:val="24"/>
          <w:highlight w:val="none"/>
        </w:rPr>
        <w:t>商名称（盖章）：_________________</w:t>
      </w:r>
    </w:p>
    <w:p>
      <w:pPr>
        <w:spacing w:line="390" w:lineRule="exact"/>
        <w:ind w:right="-168" w:rightChars="-80" w:firstLine="435"/>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法定代表人或委托代理人签字：_________________</w:t>
      </w:r>
    </w:p>
    <w:p>
      <w:pPr>
        <w:spacing w:line="390" w:lineRule="exact"/>
        <w:ind w:right="-168" w:rightChars="-80" w:firstLine="435"/>
        <w:rPr>
          <w:rFonts w:hint="eastAsia" w:ascii="仿宋_GB2312" w:hAnsi="仿宋_GB2312" w:eastAsia="仿宋_GB2312" w:cs="仿宋_GB2312"/>
          <w:b w:val="0"/>
          <w:bCs/>
          <w:color w:val="auto"/>
          <w:sz w:val="24"/>
          <w:highlight w:val="none"/>
          <w:lang w:val="en-US" w:eastAsia="zh-CN"/>
        </w:rPr>
      </w:pPr>
      <w:r>
        <w:rPr>
          <w:rFonts w:hint="eastAsia" w:ascii="仿宋_GB2312" w:hAnsi="仿宋_GB2312" w:eastAsia="仿宋_GB2312" w:cs="仿宋_GB2312"/>
          <w:b w:val="0"/>
          <w:bCs/>
          <w:color w:val="auto"/>
          <w:sz w:val="24"/>
          <w:highlight w:val="none"/>
        </w:rPr>
        <w:br w:type="page"/>
      </w:r>
    </w:p>
    <w:p>
      <w:pPr>
        <w:widowControl w:val="0"/>
        <w:jc w:val="center"/>
        <w:outlineLvl w:val="0"/>
        <w:rPr>
          <w:rFonts w:hint="eastAsia" w:ascii="方正小标宋_GBK" w:hAnsi="方正小标宋_GBK" w:eastAsia="方正小标宋_GBK" w:cs="方正小标宋_GBK"/>
          <w:b w:val="0"/>
          <w:bCs w:val="0"/>
          <w:color w:val="auto"/>
          <w:kern w:val="2"/>
          <w:sz w:val="32"/>
          <w:szCs w:val="32"/>
          <w:lang w:val="en-US" w:eastAsia="zh-CN" w:bidi="ar-SA"/>
        </w:rPr>
      </w:pPr>
      <w:bookmarkStart w:id="4" w:name="_Toc15534"/>
      <w:bookmarkStart w:id="5" w:name="heading_8"/>
      <w:r>
        <w:rPr>
          <w:rFonts w:hint="eastAsia" w:ascii="方正小标宋_GBK" w:hAnsi="方正小标宋_GBK" w:eastAsia="方正小标宋_GBK" w:cs="方正小标宋_GBK"/>
          <w:b w:val="0"/>
          <w:bCs w:val="0"/>
          <w:color w:val="auto"/>
          <w:kern w:val="2"/>
          <w:sz w:val="32"/>
          <w:szCs w:val="32"/>
          <w:lang w:val="en-US" w:eastAsia="zh-CN" w:bidi="ar-SA"/>
        </w:rPr>
        <w:t>第二部分 投标文件格式</w:t>
      </w:r>
      <w:bookmarkEnd w:id="4"/>
      <w:bookmarkEnd w:id="5"/>
    </w:p>
    <w:p>
      <w:pPr>
        <w:widowControl w:val="0"/>
        <w:jc w:val="center"/>
        <w:rPr>
          <w:rFonts w:hint="eastAsia" w:ascii="方正小标宋_GBK" w:hAnsi="方正小标宋_GBK" w:eastAsia="方正小标宋_GBK" w:cs="方正小标宋_GBK"/>
          <w:b w:val="0"/>
          <w:bCs w:val="0"/>
          <w:color w:val="auto"/>
          <w:kern w:val="2"/>
          <w:sz w:val="32"/>
          <w:szCs w:val="32"/>
          <w:lang w:val="en-US" w:eastAsia="zh-CN" w:bidi="ar-SA"/>
        </w:rPr>
      </w:pPr>
      <w:bookmarkStart w:id="6" w:name="heading_9"/>
      <w:r>
        <w:rPr>
          <w:rFonts w:hint="eastAsia" w:ascii="方正小标宋_GBK" w:hAnsi="方正小标宋_GBK" w:eastAsia="方正小标宋_GBK" w:cs="方正小标宋_GBK"/>
          <w:b w:val="0"/>
          <w:bCs w:val="0"/>
          <w:color w:val="auto"/>
          <w:kern w:val="2"/>
          <w:sz w:val="32"/>
          <w:szCs w:val="32"/>
          <w:lang w:val="en-US" w:eastAsia="zh-CN" w:bidi="ar-SA"/>
        </w:rPr>
        <w:t>承诺函</w:t>
      </w:r>
      <w:bookmarkEnd w:id="6"/>
    </w:p>
    <w:p>
      <w:pPr>
        <w:widowControl w:val="0"/>
        <w:spacing w:line="390" w:lineRule="exact"/>
        <w:ind w:left="0" w:leftChars="0" w:right="-168" w:rightChars="-80" w:firstLine="0"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致：________________（采购人名称）</w:t>
      </w:r>
    </w:p>
    <w:p>
      <w:pPr>
        <w:widowControl w:val="0"/>
        <w:spacing w:line="390" w:lineRule="exact"/>
        <w:ind w:leftChars="0"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我方已仔细研读本项目招标文件全部内容，就本项目拟投入人员配置郑重作出如下承诺：</w:t>
      </w:r>
    </w:p>
    <w:p>
      <w:pPr>
        <w:widowControl w:val="0"/>
        <w:spacing w:line="390" w:lineRule="exact"/>
        <w:ind w:leftChars="0"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我方如有幸中标，项目履约实施阶段将严格执行招标文件采购需求中人员配置最低要求，本项目配备的项目负责人须至少具有副高级及以上技术职称证书。</w:t>
      </w:r>
    </w:p>
    <w:p>
      <w:pPr>
        <w:widowControl w:val="0"/>
        <w:spacing w:line="390" w:lineRule="exact"/>
        <w:ind w:leftChars="0"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项目核心实施人员未经采购人书面同意绝不擅自更换；如确因不可抗力需要更换项目人员，替换人员的专业资质、从业经验、技术能力不低于原派驻人员标准。</w:t>
      </w:r>
    </w:p>
    <w:p>
      <w:pPr>
        <w:widowControl w:val="0"/>
        <w:spacing w:line="390" w:lineRule="exact"/>
        <w:ind w:leftChars="0"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若中标后，在合同签订前采购人核验拟派人员，或项目进场履约实施阶段，我方人员配置达不到招标文件约定标准，视为我方履约条件不达标，采购人有权不予签订合同或解除合同，我方自愿承担由此产生全部违约责任与一切损失。</w:t>
      </w:r>
    </w:p>
    <w:p>
      <w:pPr>
        <w:widowControl w:val="0"/>
        <w:spacing w:line="390" w:lineRule="exact"/>
        <w:ind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p>
    <w:p>
      <w:pPr>
        <w:widowControl w:val="0"/>
        <w:spacing w:line="390" w:lineRule="exact"/>
        <w:ind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p>
    <w:p>
      <w:pPr>
        <w:widowControl w:val="0"/>
        <w:spacing w:line="390" w:lineRule="exact"/>
        <w:ind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p>
    <w:p>
      <w:pPr>
        <w:widowControl w:val="0"/>
        <w:spacing w:line="390" w:lineRule="exact"/>
        <w:ind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供应商（加盖公章）：____________________</w:t>
      </w:r>
    </w:p>
    <w:p>
      <w:pPr>
        <w:widowControl w:val="0"/>
        <w:spacing w:line="390" w:lineRule="exact"/>
        <w:ind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法定代表人或授权代表（签字）：__________</w:t>
      </w:r>
    </w:p>
    <w:p>
      <w:pPr>
        <w:widowControl w:val="0"/>
        <w:spacing w:line="390" w:lineRule="exact"/>
        <w:ind w:right="-168" w:rightChars="-80" w:firstLine="435" w:firstLineChars="0"/>
        <w:jc w:val="both"/>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日期：_______年____月____日</w:t>
      </w:r>
    </w:p>
    <w:p>
      <w:pPr>
        <w:tabs>
          <w:tab w:val="left" w:pos="3055"/>
        </w:tabs>
        <w:jc w:val="center"/>
        <w:rPr>
          <w:rFonts w:hint="eastAsia" w:ascii="黑体" w:hAnsi="黑体" w:eastAsia="黑体" w:cs="黑体"/>
          <w:b w:val="0"/>
          <w:bCs w:val="0"/>
          <w:color w:val="auto"/>
          <w:sz w:val="28"/>
          <w:szCs w:val="28"/>
          <w:highlight w:val="none"/>
          <w:lang w:eastAsia="zh-CN"/>
        </w:rPr>
      </w:pPr>
    </w:p>
    <w:p>
      <w:pPr>
        <w:tabs>
          <w:tab w:val="left" w:pos="3055"/>
        </w:tabs>
        <w:jc w:val="center"/>
        <w:rPr>
          <w:rFonts w:hint="eastAsia" w:ascii="黑体" w:hAnsi="黑体" w:eastAsia="黑体" w:cs="黑体"/>
          <w:b w:val="0"/>
          <w:bCs w:val="0"/>
          <w:color w:val="auto"/>
          <w:sz w:val="28"/>
          <w:szCs w:val="28"/>
          <w:highlight w:val="none"/>
          <w:lang w:eastAsia="zh-CN"/>
        </w:rPr>
      </w:pPr>
    </w:p>
    <w:p>
      <w:pPr>
        <w:tabs>
          <w:tab w:val="left" w:pos="3055"/>
        </w:tabs>
        <w:jc w:val="center"/>
        <w:rPr>
          <w:rFonts w:hint="eastAsia" w:ascii="黑体" w:hAnsi="黑体" w:eastAsia="黑体" w:cs="黑体"/>
          <w:b w:val="0"/>
          <w:bCs w:val="0"/>
          <w:color w:val="auto"/>
          <w:sz w:val="28"/>
          <w:szCs w:val="28"/>
          <w:highlight w:val="none"/>
          <w:lang w:eastAsia="zh-CN"/>
        </w:rPr>
      </w:pPr>
    </w:p>
    <w:p>
      <w:pPr>
        <w:tabs>
          <w:tab w:val="left" w:pos="3055"/>
        </w:tabs>
        <w:jc w:val="center"/>
        <w:rPr>
          <w:rFonts w:hint="eastAsia" w:ascii="黑体" w:hAnsi="黑体" w:eastAsia="黑体" w:cs="黑体"/>
          <w:b w:val="0"/>
          <w:bCs w:val="0"/>
          <w:color w:val="auto"/>
          <w:sz w:val="28"/>
          <w:szCs w:val="28"/>
          <w:highlight w:val="none"/>
          <w:lang w:eastAsia="zh-CN"/>
        </w:rPr>
      </w:pPr>
    </w:p>
    <w:p>
      <w:pPr>
        <w:tabs>
          <w:tab w:val="left" w:pos="3055"/>
        </w:tabs>
        <w:jc w:val="center"/>
        <w:rPr>
          <w:rFonts w:hint="eastAsia" w:ascii="黑体" w:hAnsi="黑体" w:eastAsia="黑体" w:cs="黑体"/>
          <w:b w:val="0"/>
          <w:bCs w:val="0"/>
          <w:color w:val="auto"/>
          <w:sz w:val="28"/>
          <w:szCs w:val="28"/>
          <w:highlight w:val="none"/>
          <w:lang w:eastAsia="zh-CN"/>
        </w:rPr>
      </w:pPr>
    </w:p>
    <w:p>
      <w:pPr>
        <w:tabs>
          <w:tab w:val="left" w:pos="3055"/>
        </w:tabs>
        <w:jc w:val="both"/>
        <w:rPr>
          <w:rFonts w:hint="eastAsia" w:ascii="黑体" w:hAnsi="黑体" w:eastAsia="黑体" w:cs="黑体"/>
          <w:b w:val="0"/>
          <w:bCs w:val="0"/>
          <w:color w:val="auto"/>
          <w:sz w:val="28"/>
          <w:szCs w:val="28"/>
          <w:highlight w:val="none"/>
          <w:lang w:eastAsia="zh-CN"/>
        </w:rPr>
      </w:pPr>
    </w:p>
    <w:p>
      <w:pPr>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lang w:eastAsia="zh-CN"/>
        </w:rPr>
        <w:br w:type="page"/>
      </w:r>
    </w:p>
    <w:p>
      <w:pPr>
        <w:widowControl w:val="0"/>
        <w:jc w:val="center"/>
        <w:outlineLvl w:val="0"/>
        <w:rPr>
          <w:rFonts w:hint="eastAsia" w:ascii="方正小标宋_GBK" w:hAnsi="方正小标宋_GBK" w:eastAsia="方正小标宋_GBK" w:cs="方正小标宋_GBK"/>
          <w:b w:val="0"/>
          <w:bCs w:val="0"/>
          <w:color w:val="auto"/>
          <w:kern w:val="2"/>
          <w:sz w:val="32"/>
          <w:szCs w:val="32"/>
          <w:lang w:val="en-US" w:eastAsia="zh-CN" w:bidi="ar-SA"/>
        </w:rPr>
      </w:pPr>
      <w:bookmarkStart w:id="7" w:name="_Toc5102"/>
      <w:r>
        <w:rPr>
          <w:rFonts w:hint="eastAsia" w:ascii="方正小标宋_GBK" w:hAnsi="方正小标宋_GBK" w:eastAsia="方正小标宋_GBK" w:cs="方正小标宋_GBK"/>
          <w:b w:val="0"/>
          <w:bCs w:val="0"/>
          <w:color w:val="auto"/>
          <w:kern w:val="2"/>
          <w:sz w:val="32"/>
          <w:szCs w:val="32"/>
          <w:lang w:val="en-US" w:eastAsia="zh-CN" w:bidi="ar-SA"/>
        </w:rPr>
        <w:t>第三部分 评审方法及评审标准</w:t>
      </w:r>
      <w:bookmarkEnd w:id="7"/>
    </w:p>
    <w:p>
      <w:pPr>
        <w:keepNext w:val="0"/>
        <w:keepLines w:val="0"/>
        <w:pageBreakBefore w:val="0"/>
        <w:widowControl w:val="0"/>
        <w:tabs>
          <w:tab w:val="center" w:pos="4410"/>
          <w:tab w:val="left" w:pos="6735"/>
        </w:tabs>
        <w:kinsoku/>
        <w:wordWrap/>
        <w:overflowPunct/>
        <w:topLinePunct w:val="0"/>
        <w:autoSpaceDE/>
        <w:autoSpaceDN/>
        <w:bidi w:val="0"/>
        <w:adjustRightInd/>
        <w:snapToGrid/>
        <w:spacing w:line="560" w:lineRule="exact"/>
        <w:ind w:firstLine="560" w:firstLineChars="200"/>
        <w:jc w:val="left"/>
        <w:textAlignment w:val="auto"/>
        <w:outlineLvl w:val="1"/>
        <w:rPr>
          <w:rStyle w:val="22"/>
          <w:rFonts w:hint="eastAsia" w:ascii="黑体" w:hAnsi="黑体" w:eastAsia="黑体" w:cs="黑体"/>
          <w:b w:val="0"/>
          <w:bCs/>
          <w:color w:val="auto"/>
          <w:sz w:val="28"/>
          <w:szCs w:val="28"/>
        </w:rPr>
      </w:pPr>
      <w:bookmarkStart w:id="8" w:name="_Toc3753"/>
      <w:r>
        <w:rPr>
          <w:rStyle w:val="22"/>
          <w:rFonts w:hint="eastAsia" w:ascii="黑体" w:hAnsi="黑体" w:eastAsia="黑体" w:cs="黑体"/>
          <w:b w:val="0"/>
          <w:bCs/>
          <w:color w:val="auto"/>
          <w:sz w:val="28"/>
          <w:szCs w:val="28"/>
        </w:rPr>
        <w:t>一、评</w:t>
      </w:r>
      <w:r>
        <w:rPr>
          <w:rStyle w:val="22"/>
          <w:rFonts w:hint="eastAsia" w:ascii="黑体" w:hAnsi="黑体" w:eastAsia="黑体" w:cs="黑体"/>
          <w:b w:val="0"/>
          <w:bCs/>
          <w:color w:val="auto"/>
          <w:sz w:val="28"/>
          <w:szCs w:val="28"/>
          <w:lang w:eastAsia="zh-CN"/>
        </w:rPr>
        <w:t>审</w:t>
      </w:r>
      <w:r>
        <w:rPr>
          <w:rStyle w:val="22"/>
          <w:rFonts w:hint="eastAsia" w:ascii="黑体" w:hAnsi="黑体" w:eastAsia="黑体" w:cs="黑体"/>
          <w:b w:val="0"/>
          <w:bCs/>
          <w:color w:val="auto"/>
          <w:sz w:val="28"/>
          <w:szCs w:val="28"/>
        </w:rPr>
        <w:t>原则</w:t>
      </w:r>
      <w:bookmarkEnd w:id="8"/>
    </w:p>
    <w:p>
      <w:pPr>
        <w:spacing w:line="390" w:lineRule="exact"/>
        <w:ind w:right="-168" w:rightChars="-8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（一）评审小组成员组成：本采购项目的评审小组由采购人统一安排，</w:t>
      </w:r>
      <w:r>
        <w:rPr>
          <w:rFonts w:hint="eastAsia" w:ascii="仿宋_GB2312" w:hAnsi="仿宋_GB2312" w:eastAsia="仿宋_GB2312" w:cs="仿宋_GB2312"/>
          <w:color w:val="auto"/>
          <w:sz w:val="24"/>
          <w:highlight w:val="none"/>
          <w:lang w:eastAsia="zh-CN"/>
        </w:rPr>
        <w:t>由</w:t>
      </w:r>
      <w:r>
        <w:rPr>
          <w:rFonts w:hint="eastAsia" w:ascii="仿宋_GB2312" w:hAnsi="仿宋_GB2312" w:eastAsia="仿宋_GB2312" w:cs="仿宋_GB2312"/>
          <w:color w:val="auto"/>
          <w:sz w:val="24"/>
          <w:highlight w:val="none"/>
        </w:rPr>
        <w:t>三人以上的单数组成。</w:t>
      </w:r>
    </w:p>
    <w:p>
      <w:pPr>
        <w:spacing w:line="390" w:lineRule="exact"/>
        <w:ind w:right="-168" w:rightChars="-80" w:firstLine="435"/>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（二）</w:t>
      </w:r>
      <w:r>
        <w:rPr>
          <w:rFonts w:hint="eastAsia" w:ascii="仿宋_GB2312" w:hAnsi="仿宋_GB2312" w:eastAsia="仿宋_GB2312" w:cs="仿宋_GB2312"/>
          <w:b/>
          <w:color w:val="auto"/>
          <w:sz w:val="24"/>
          <w:highlight w:val="none"/>
        </w:rPr>
        <w:t>评审依据：评审小组以采购文件和响应文件为依据，对参与供应商的价格、</w:t>
      </w:r>
      <w:r>
        <w:rPr>
          <w:rFonts w:hint="eastAsia" w:ascii="仿宋_GB2312" w:hAnsi="仿宋_GB2312" w:eastAsia="仿宋_GB2312" w:cs="仿宋_GB2312"/>
          <w:b/>
          <w:color w:val="auto"/>
          <w:sz w:val="24"/>
          <w:highlight w:val="none"/>
          <w:lang w:eastAsia="zh-CN"/>
        </w:rPr>
        <w:t>技术性能</w:t>
      </w:r>
      <w:r>
        <w:rPr>
          <w:rFonts w:hint="eastAsia" w:ascii="仿宋_GB2312" w:hAnsi="仿宋_GB2312" w:eastAsia="仿宋_GB2312" w:cs="仿宋_GB2312"/>
          <w:b/>
          <w:color w:val="auto"/>
          <w:sz w:val="24"/>
          <w:highlight w:val="none"/>
        </w:rPr>
        <w:t>、</w:t>
      </w:r>
      <w:r>
        <w:rPr>
          <w:rFonts w:hint="eastAsia" w:ascii="仿宋_GB2312" w:hAnsi="仿宋_GB2312" w:eastAsia="仿宋_GB2312" w:cs="仿宋_GB2312"/>
          <w:b/>
          <w:color w:val="auto"/>
          <w:sz w:val="24"/>
          <w:highlight w:val="none"/>
          <w:lang w:val="en-US" w:eastAsia="zh-CN"/>
        </w:rPr>
        <w:t>商务</w:t>
      </w:r>
      <w:r>
        <w:rPr>
          <w:rFonts w:hint="eastAsia" w:ascii="仿宋_GB2312" w:hAnsi="仿宋_GB2312" w:eastAsia="仿宋_GB2312" w:cs="仿宋_GB2312"/>
          <w:b/>
          <w:color w:val="auto"/>
          <w:sz w:val="24"/>
          <w:highlight w:val="none"/>
        </w:rPr>
        <w:t>等方面按百分制打分。</w:t>
      </w:r>
    </w:p>
    <w:p>
      <w:pPr>
        <w:spacing w:line="390" w:lineRule="exact"/>
        <w:ind w:right="-168" w:rightChars="-80" w:firstLine="435" w:firstLineChars="0"/>
        <w:outlineLvl w:val="9"/>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（三）评审方式：以封闭方式进行。</w:t>
      </w:r>
    </w:p>
    <w:p>
      <w:pPr>
        <w:spacing w:line="390" w:lineRule="exact"/>
        <w:ind w:right="-168" w:rightChars="-80" w:firstLine="435"/>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评审小组认为参与供应商的报价明显低于其他通过符合性审查供应商的报价，有可能影响产品质量或者不能诚信履约的，应当要求其在评审现场合理的时间内提供书面说明，必要时提交相关证明材料；参与供应商不能证明其报价合理性的，评审小组不推荐该供应商为成交候选供应商。</w:t>
      </w:r>
    </w:p>
    <w:p>
      <w:pPr>
        <w:keepNext w:val="0"/>
        <w:keepLines w:val="0"/>
        <w:pageBreakBefore w:val="0"/>
        <w:widowControl w:val="0"/>
        <w:tabs>
          <w:tab w:val="center" w:pos="4410"/>
          <w:tab w:val="left" w:pos="6735"/>
        </w:tabs>
        <w:kinsoku/>
        <w:wordWrap/>
        <w:overflowPunct/>
        <w:topLinePunct w:val="0"/>
        <w:autoSpaceDE/>
        <w:autoSpaceDN/>
        <w:bidi w:val="0"/>
        <w:adjustRightInd/>
        <w:snapToGrid/>
        <w:spacing w:line="560" w:lineRule="exact"/>
        <w:ind w:firstLine="560" w:firstLineChars="200"/>
        <w:jc w:val="left"/>
        <w:textAlignment w:val="auto"/>
        <w:outlineLvl w:val="1"/>
        <w:rPr>
          <w:rStyle w:val="22"/>
          <w:rFonts w:hint="eastAsia" w:ascii="黑体" w:hAnsi="黑体" w:eastAsia="黑体" w:cs="黑体"/>
          <w:b w:val="0"/>
          <w:bCs/>
          <w:color w:val="auto"/>
          <w:sz w:val="28"/>
          <w:szCs w:val="28"/>
        </w:rPr>
      </w:pPr>
      <w:bookmarkStart w:id="9" w:name="_Toc8691"/>
      <w:r>
        <w:rPr>
          <w:rStyle w:val="22"/>
          <w:rFonts w:hint="eastAsia" w:ascii="黑体" w:hAnsi="黑体" w:eastAsia="黑体" w:cs="黑体"/>
          <w:b w:val="0"/>
          <w:bCs/>
          <w:color w:val="auto"/>
          <w:sz w:val="28"/>
          <w:szCs w:val="28"/>
        </w:rPr>
        <w:t>二、评</w:t>
      </w:r>
      <w:r>
        <w:rPr>
          <w:rStyle w:val="22"/>
          <w:rFonts w:hint="eastAsia" w:ascii="黑体" w:hAnsi="黑体" w:eastAsia="黑体" w:cs="黑体"/>
          <w:b w:val="0"/>
          <w:bCs/>
          <w:color w:val="auto"/>
          <w:sz w:val="28"/>
          <w:szCs w:val="28"/>
          <w:lang w:eastAsia="zh-CN"/>
        </w:rPr>
        <w:t>审</w:t>
      </w:r>
      <w:r>
        <w:rPr>
          <w:rStyle w:val="22"/>
          <w:rFonts w:hint="eastAsia" w:ascii="黑体" w:hAnsi="黑体" w:eastAsia="黑体" w:cs="黑体"/>
          <w:b w:val="0"/>
          <w:bCs/>
          <w:color w:val="auto"/>
          <w:sz w:val="28"/>
          <w:szCs w:val="28"/>
        </w:rPr>
        <w:t>方法</w:t>
      </w:r>
      <w:bookmarkEnd w:id="9"/>
      <w:r>
        <w:rPr>
          <w:rStyle w:val="22"/>
          <w:rFonts w:hint="eastAsia" w:ascii="黑体" w:hAnsi="黑体" w:eastAsia="黑体" w:cs="黑体"/>
          <w:b w:val="0"/>
          <w:bCs/>
          <w:color w:val="auto"/>
          <w:sz w:val="28"/>
          <w:szCs w:val="28"/>
        </w:rPr>
        <w:tab/>
      </w:r>
    </w:p>
    <w:tbl>
      <w:tblPr>
        <w:tblStyle w:val="23"/>
        <w:tblpPr w:leftFromText="180" w:rightFromText="180" w:vertAnchor="text" w:horzAnchor="page" w:tblpX="1706" w:tblpY="798"/>
        <w:tblOverlap w:val="never"/>
        <w:tblW w:w="9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774"/>
        <w:gridCol w:w="5978"/>
        <w:gridCol w:w="732"/>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Align w:val="center"/>
          </w:tcPr>
          <w:p>
            <w:pPr>
              <w:bidi w:val="0"/>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序号</w:t>
            </w:r>
          </w:p>
        </w:tc>
        <w:tc>
          <w:tcPr>
            <w:tcW w:w="774" w:type="dxa"/>
            <w:shd w:val="clear" w:color="auto" w:fill="auto"/>
            <w:vAlign w:val="center"/>
          </w:tcPr>
          <w:p>
            <w:pPr>
              <w:bidi w:val="0"/>
              <w:jc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rPr>
              <w:t>评分项</w:t>
            </w:r>
          </w:p>
        </w:tc>
        <w:tc>
          <w:tcPr>
            <w:tcW w:w="5978" w:type="dxa"/>
            <w:vAlign w:val="center"/>
          </w:tcPr>
          <w:p>
            <w:pPr>
              <w:bidi w:val="0"/>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评分标准说明</w:t>
            </w:r>
          </w:p>
        </w:tc>
        <w:tc>
          <w:tcPr>
            <w:tcW w:w="732" w:type="dxa"/>
            <w:vAlign w:val="center"/>
          </w:tcPr>
          <w:p>
            <w:pPr>
              <w:bidi w:val="0"/>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分值</w:t>
            </w:r>
          </w:p>
        </w:tc>
        <w:tc>
          <w:tcPr>
            <w:tcW w:w="920" w:type="dxa"/>
            <w:vAlign w:val="center"/>
          </w:tcPr>
          <w:p>
            <w:pPr>
              <w:bidi w:val="0"/>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对应的</w:t>
            </w:r>
            <w:r>
              <w:rPr>
                <w:rFonts w:hint="eastAsia" w:ascii="仿宋_GB2312" w:hAnsi="仿宋_GB2312" w:eastAsia="仿宋_GB2312" w:cs="仿宋_GB2312"/>
                <w:b/>
                <w:bCs/>
                <w:color w:val="auto"/>
                <w:sz w:val="24"/>
                <w:szCs w:val="24"/>
                <w:lang w:eastAsia="zh-CN"/>
              </w:rPr>
              <w:t>响应</w:t>
            </w:r>
            <w:r>
              <w:rPr>
                <w:rFonts w:hint="eastAsia" w:ascii="仿宋_GB2312" w:hAnsi="仿宋_GB2312" w:eastAsia="仿宋_GB2312" w:cs="仿宋_GB2312"/>
                <w:b/>
                <w:bCs/>
                <w:color w:val="auto"/>
                <w:sz w:val="24"/>
                <w:szCs w:val="24"/>
              </w:rPr>
              <w:t>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48" w:type="dxa"/>
            <w:vAlign w:val="center"/>
          </w:tcPr>
          <w:p>
            <w:pPr>
              <w:bidi w:val="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774" w:type="dxa"/>
            <w:shd w:val="clear" w:color="auto" w:fill="auto"/>
            <w:vAlign w:val="center"/>
          </w:tcPr>
          <w:p>
            <w:pPr>
              <w:bidi w:val="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价格</w:t>
            </w:r>
            <w:r>
              <w:rPr>
                <w:rFonts w:hint="eastAsia" w:ascii="仿宋_GB2312" w:hAnsi="仿宋_GB2312" w:eastAsia="仿宋_GB2312" w:cs="仿宋_GB2312"/>
                <w:color w:val="auto"/>
                <w:sz w:val="24"/>
                <w:szCs w:val="24"/>
                <w:lang w:val="en-US" w:eastAsia="zh-CN"/>
              </w:rPr>
              <w:t>评</w:t>
            </w:r>
            <w:r>
              <w:rPr>
                <w:rFonts w:hint="eastAsia" w:ascii="仿宋_GB2312" w:hAnsi="仿宋_GB2312" w:eastAsia="仿宋_GB2312" w:cs="仿宋_GB2312"/>
                <w:color w:val="auto"/>
                <w:sz w:val="24"/>
                <w:szCs w:val="24"/>
              </w:rPr>
              <w:t>分</w:t>
            </w:r>
          </w:p>
        </w:tc>
        <w:tc>
          <w:tcPr>
            <w:tcW w:w="5978" w:type="dxa"/>
            <w:vAlign w:val="center"/>
          </w:tcPr>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1.1评审价认定：本项目评审价为供应商最终有效报价，成交金额以最终评审报价为准（评标修正后以确认报价为准）。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1.2基准价确定：以进入详评环节所有有效投标报价中的最低评审报价为评标基准报价，基准价得满分20分。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1.3 评分公式：报价得分=（评标基准价÷供应商最终报价）×20</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1.4低价管控：评标委员会对明显低于市场合理成本、无合理成本说明、恶意低价竞争的报价，</w:t>
            </w:r>
            <w:r>
              <w:rPr>
                <w:rFonts w:hint="eastAsia" w:ascii="仿宋_GB2312" w:hAnsi="仿宋_GB2312" w:eastAsia="仿宋_GB2312" w:cs="仿宋_GB2312"/>
                <w:color w:val="auto"/>
                <w:sz w:val="24"/>
                <w:szCs w:val="24"/>
                <w:lang w:val="en-US" w:eastAsia="zh-CN"/>
              </w:rPr>
              <w:t>有权酌情调减报价得分或作无效投标处理，</w:t>
            </w:r>
            <w:r>
              <w:rPr>
                <w:rFonts w:hint="eastAsia" w:ascii="仿宋_GB2312" w:hAnsi="仿宋_GB2312" w:eastAsia="仿宋_GB2312" w:cs="仿宋_GB2312"/>
                <w:color w:val="auto"/>
                <w:sz w:val="24"/>
                <w:szCs w:val="24"/>
                <w:lang w:val="en-US" w:eastAsia="zh-CN"/>
              </w:rPr>
              <w:t>杜绝低价低质审计服务，保障项目服务质量。</w:t>
            </w:r>
          </w:p>
        </w:tc>
        <w:tc>
          <w:tcPr>
            <w:tcW w:w="732" w:type="dxa"/>
            <w:vAlign w:val="center"/>
          </w:tcPr>
          <w:p>
            <w:pPr>
              <w:bidi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0</w:t>
            </w:r>
          </w:p>
        </w:tc>
        <w:tc>
          <w:tcPr>
            <w:tcW w:w="920" w:type="dxa"/>
            <w:vAlign w:val="center"/>
          </w:tcPr>
          <w:p>
            <w:pPr>
              <w:bidi w:val="0"/>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Align w:val="center"/>
          </w:tcPr>
          <w:p>
            <w:pPr>
              <w:bidi w:val="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774" w:type="dxa"/>
            <w:shd w:val="clear" w:color="auto" w:fill="auto"/>
            <w:vAlign w:val="center"/>
          </w:tcPr>
          <w:p>
            <w:pPr>
              <w:bidi w:val="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技术评分</w:t>
            </w:r>
          </w:p>
        </w:tc>
        <w:tc>
          <w:tcPr>
            <w:tcW w:w="5978" w:type="dxa"/>
            <w:vAlign w:val="center"/>
          </w:tcPr>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2.1审计工期保障措施</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9</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（0-3分）</w:t>
            </w:r>
            <w:r>
              <w:rPr>
                <w:rFonts w:hint="eastAsia" w:ascii="仿宋_GB2312" w:hAnsi="仿宋_GB2312" w:eastAsia="仿宋_GB2312" w:cs="仿宋_GB2312"/>
                <w:color w:val="auto"/>
                <w:sz w:val="24"/>
                <w:szCs w:val="24"/>
                <w:lang w:val="en-US" w:eastAsia="zh-CN"/>
              </w:rPr>
              <w:t>：具备基础审计进度安排，配有基础工期保障、赶工措施，进度计划表内容简单，节点管控较为粗放，仅基本满足项目工期要求，无细化管控机制与应急保障方案。</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（4-6分）</w:t>
            </w:r>
            <w:r>
              <w:rPr>
                <w:rFonts w:hint="eastAsia" w:ascii="仿宋_GB2312" w:hAnsi="仿宋_GB2312" w:eastAsia="仿宋_GB2312" w:cs="仿宋_GB2312"/>
                <w:color w:val="auto"/>
                <w:sz w:val="24"/>
                <w:szCs w:val="24"/>
                <w:lang w:val="en-US" w:eastAsia="zh-CN"/>
              </w:rPr>
              <w:t>：编制完整的项目时序进度计划，明确现场摸排、数据核查、核算分析、报告编制、审核归档五大实施阶段，工期保障措施齐全，具备进度纠偏、延期预警机制，可稳定保障项目按期完成全部审计工作。</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（7-9分）</w:t>
            </w:r>
            <w:r>
              <w:rPr>
                <w:rFonts w:hint="eastAsia" w:ascii="仿宋_GB2312" w:hAnsi="仿宋_GB2312" w:eastAsia="仿宋_GB2312" w:cs="仿宋_GB2312"/>
                <w:color w:val="auto"/>
                <w:sz w:val="24"/>
                <w:szCs w:val="24"/>
                <w:lang w:val="en-US" w:eastAsia="zh-CN"/>
              </w:rPr>
              <w:t>：充分结合公共机构不间断办公、对外服务不停业的核心特性，制定错峰审计、分区域摸排、交叉作业、零干扰办公的专项工期方案；进度计划细化到具体工作日，建立专人督办、节点考核、应急补位、进度复盘全流程管控机制，进度规划逻辑严密、落地性强、全程可监管、可追溯，可高质量、零延误完成全流程审计及上级成果上报工作。</w:t>
            </w:r>
          </w:p>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2.2审计成果质量管控措施</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9</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（0-3分）</w:t>
            </w:r>
            <w:r>
              <w:rPr>
                <w:rFonts w:hint="eastAsia" w:ascii="仿宋_GB2312" w:hAnsi="仿宋_GB2312" w:eastAsia="仿宋_GB2312" w:cs="仿宋_GB2312"/>
                <w:color w:val="auto"/>
                <w:sz w:val="24"/>
                <w:szCs w:val="24"/>
                <w:lang w:val="en-US" w:eastAsia="zh-CN"/>
              </w:rPr>
              <w:t>：具备基础质量管理制度及简单审核流程，数据核查、报告审核措施较为常规，质控体系不完善、无闭环管理机制，仅勉强满足项目验收底线标准。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（4-6分）</w:t>
            </w:r>
            <w:r>
              <w:rPr>
                <w:rFonts w:hint="eastAsia" w:ascii="仿宋_GB2312" w:hAnsi="仿宋_GB2312" w:eastAsia="仿宋_GB2312" w:cs="仿宋_GB2312"/>
                <w:color w:val="auto"/>
                <w:sz w:val="24"/>
                <w:szCs w:val="24"/>
                <w:lang w:val="en-US" w:eastAsia="zh-CN"/>
              </w:rPr>
              <w:t>：建立健全质量管理制度，实行双人复核机制，质控范围全面覆盖数据采集、台账核对、能耗核算、问题诊断、报告编制全过程，可稳定保障审计成果合规、准确、无明显疏漏。</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（7-9分）</w:t>
            </w:r>
            <w:r>
              <w:rPr>
                <w:rFonts w:hint="eastAsia" w:ascii="仿宋_GB2312" w:hAnsi="仿宋_GB2312" w:eastAsia="仿宋_GB2312" w:cs="仿宋_GB2312"/>
                <w:color w:val="auto"/>
                <w:sz w:val="24"/>
                <w:szCs w:val="24"/>
                <w:lang w:val="en-US" w:eastAsia="zh-CN"/>
              </w:rPr>
              <w:t>：严格执行国家公共机构能源审计规范，建立初审、复审、终审三级闭环质控体系，配备专职质控人员；构建能耗数据、台账资料、检测记录、核算结果全程可溯源、可复核、可校验的质控机制，完全满足上级节能考核、能耗统计、审计归档、督查抽查各项硬性要求，审计成果规范性、准确性、合规性、可用性优异。</w:t>
            </w:r>
          </w:p>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2.3核心能源审计实施方案</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9</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（0-3分）</w:t>
            </w:r>
            <w:r>
              <w:rPr>
                <w:rFonts w:hint="eastAsia" w:ascii="仿宋_GB2312" w:hAnsi="仿宋_GB2312" w:eastAsia="仿宋_GB2312" w:cs="仿宋_GB2312"/>
                <w:color w:val="auto"/>
                <w:sz w:val="24"/>
                <w:szCs w:val="24"/>
                <w:lang w:val="en-US" w:eastAsia="zh-CN"/>
              </w:rPr>
              <w:t>：方案内容简略，仅简单罗列基础审计流程，未结合公共机构专属用能场景，无具体核查标准、核算方法及分析体系，方案针对性、专业性较弱，通用性模板痕迹明显。</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（4-6分）</w:t>
            </w:r>
            <w:r>
              <w:rPr>
                <w:rFonts w:hint="eastAsia" w:ascii="仿宋_GB2312" w:hAnsi="仿宋_GB2312" w:eastAsia="仿宋_GB2312" w:cs="仿宋_GB2312"/>
                <w:color w:val="auto"/>
                <w:sz w:val="24"/>
                <w:szCs w:val="24"/>
                <w:lang w:val="en-US" w:eastAsia="zh-CN"/>
              </w:rPr>
              <w:t>：方案结构完整、流程规范，明确审计范围、政策依据、实施步骤及核查方法，覆盖水、电、气、油、耗材等全品类用能核查，具备基础能耗分析与问题排查内容，可满足项目基本审计工作需求。</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（7-9分）</w:t>
            </w:r>
            <w:r>
              <w:rPr>
                <w:rFonts w:hint="eastAsia" w:ascii="仿宋_GB2312" w:hAnsi="仿宋_GB2312" w:eastAsia="仿宋_GB2312" w:cs="仿宋_GB2312"/>
                <w:color w:val="auto"/>
                <w:sz w:val="24"/>
                <w:szCs w:val="24"/>
                <w:lang w:val="en-US" w:eastAsia="zh-CN"/>
              </w:rPr>
              <w:t>：方案深度贴合公共机构节能考核、能耗公示、碳排放核算、节能改造等核心工作要求，体系完整、逻辑严谨、专业成熟、落地性强。严格依据《公共机构能源审计技术导则》（GB/T31342-2014）规范流程实施，完整执行审计准备-预审计-审计-初次研讨-报告编制-二次研讨-报告修改-报告提交-验收全标准审计步骤。方案完整包含：项目概况与用能特征分析、能耗台账核查、现场摸排核查、分项能耗统计核算、能效对标分析、能耗漏洞与浪费问题诊断、节能潜力测算、分级整改建议、长效节能管理方案、审计成果应用方案。方案精准贴合机关事业单位办公、运维、公共服务专属场景，核算方法科学、数据分析严谨、贴合政策规范，明确承诺独立完成全部审计工作，未经采购人书面许可，不得转包、分包或委托其他机构实施，可直接服务于年度节能考核、能耗上报、节能改造立项等核心工作。</w:t>
            </w:r>
          </w:p>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2.4审计安全与信息保密管理措施</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9</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（0-3分</w:t>
            </w:r>
            <w:r>
              <w:rPr>
                <w:rFonts w:hint="eastAsia" w:ascii="仿宋_GB2312" w:hAnsi="仿宋_GB2312" w:eastAsia="仿宋_GB2312" w:cs="仿宋_GB2312"/>
                <w:color w:val="auto"/>
                <w:sz w:val="24"/>
                <w:szCs w:val="24"/>
                <w:lang w:val="en-US" w:eastAsia="zh-CN"/>
              </w:rPr>
              <w:t>）：具备基础现场作业安全、资料保密通用措施，仅符合行业最低规范要求，无专项适配措施。</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（4-6分</w:t>
            </w:r>
            <w:r>
              <w:rPr>
                <w:rFonts w:hint="eastAsia" w:ascii="仿宋_GB2312" w:hAnsi="仿宋_GB2312" w:eastAsia="仿宋_GB2312" w:cs="仿宋_GB2312"/>
                <w:color w:val="auto"/>
                <w:sz w:val="24"/>
                <w:szCs w:val="24"/>
                <w:lang w:val="en-US" w:eastAsia="zh-CN"/>
              </w:rPr>
              <w:t>）：针对本项目实际情况，制定完整的现场作业安全、人员安全、资料管理、数据保密管理制度，可有效规避现场作业风险与能耗信息泄露风险，适配项目基础保密需求。</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（7-9分）</w:t>
            </w:r>
            <w:r>
              <w:rPr>
                <w:rFonts w:hint="eastAsia" w:ascii="仿宋_GB2312" w:hAnsi="仿宋_GB2312" w:eastAsia="仿宋_GB2312" w:cs="仿宋_GB2312"/>
                <w:color w:val="auto"/>
                <w:sz w:val="24"/>
                <w:szCs w:val="24"/>
                <w:lang w:val="en-US" w:eastAsia="zh-CN"/>
              </w:rPr>
              <w:t>：设立专职安全保密管理员，建立公共机构涉密能耗信息专项保密机制；实行全员保密承诺、涉密台账单独归档、电子数据加密存储、传输脱敏、资料闭环管理、废弃资料规范销毁；针对办公涉密场景、设备运维涉密数据、内部能耗考核指标实行分级保密管理，全方位适配公共机构高保密、严合规的管理要求，无信息泄露风险。</w:t>
            </w:r>
          </w:p>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2.5文明审计与现场合规服务措施</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9</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（0-3分）</w:t>
            </w:r>
            <w:r>
              <w:rPr>
                <w:rFonts w:hint="eastAsia" w:ascii="仿宋_GB2312" w:hAnsi="仿宋_GB2312" w:eastAsia="仿宋_GB2312" w:cs="仿宋_GB2312"/>
                <w:color w:val="auto"/>
                <w:sz w:val="24"/>
                <w:szCs w:val="24"/>
                <w:lang w:val="en-US" w:eastAsia="zh-CN"/>
              </w:rPr>
              <w:t>：具备基础文明作业、现场合规措施，满足公共机构现场管理最低要求，无专项文明审计服务承诺，措施笼统通用。</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（4-6分）</w:t>
            </w:r>
            <w:r>
              <w:rPr>
                <w:rFonts w:hint="eastAsia" w:ascii="仿宋_GB2312" w:hAnsi="仿宋_GB2312" w:eastAsia="仿宋_GB2312" w:cs="仿宋_GB2312"/>
                <w:color w:val="auto"/>
                <w:sz w:val="24"/>
                <w:szCs w:val="24"/>
                <w:lang w:val="en-US" w:eastAsia="zh-CN"/>
              </w:rPr>
              <w:t>：文明审计、现场管控、环境保护措施完整规范，作业过程不干扰单位正常办公秩序，出具明确的文明审计服务承诺，适配公共机构基础现场管理要求。</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（7-9分）</w:t>
            </w:r>
            <w:r>
              <w:rPr>
                <w:rFonts w:hint="eastAsia" w:ascii="仿宋_GB2312" w:hAnsi="仿宋_GB2312" w:eastAsia="仿宋_GB2312" w:cs="仿宋_GB2312"/>
                <w:color w:val="auto"/>
                <w:sz w:val="24"/>
                <w:szCs w:val="24"/>
                <w:lang w:val="en-US" w:eastAsia="zh-CN"/>
              </w:rPr>
              <w:t>：结合公共机构对外服务、不间断办公、门禁安保、规范化管理核心要求，制定分时段、分区域、分场景的精细化文明审计方案；严格遵守采购人现场管理、卫生管理、安全管理各项制度，落实低碳审计、绿色作业理念；出具可考核、可追溯的文明服务、合规作业、廉洁执业三重承诺，服务规范周全、贴合机关单位管理标准，最大程度降低审计工作对日常办公的影响。</w:t>
            </w:r>
          </w:p>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2.6拟投入人员、设备、工具及实施计划</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9</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（0-3分）</w:t>
            </w:r>
            <w:r>
              <w:rPr>
                <w:rFonts w:hint="eastAsia" w:ascii="仿宋_GB2312" w:hAnsi="仿宋_GB2312" w:eastAsia="仿宋_GB2312" w:cs="仿宋_GB2312"/>
                <w:color w:val="auto"/>
                <w:sz w:val="24"/>
                <w:szCs w:val="24"/>
                <w:lang w:val="en-US" w:eastAsia="zh-CN"/>
              </w:rPr>
              <w:t>：拟投入人员、设备、工具可基本满足基础审计工作需求，资源配置简单、实施计划简略，保障措施较为常规，无专项配置规划。</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（4-6分</w:t>
            </w:r>
            <w:r>
              <w:rPr>
                <w:rFonts w:hint="eastAsia" w:ascii="仿宋_GB2312" w:hAnsi="仿宋_GB2312" w:eastAsia="仿宋_GB2312" w:cs="仿宋_GB2312"/>
                <w:color w:val="auto"/>
                <w:sz w:val="24"/>
                <w:szCs w:val="24"/>
                <w:lang w:val="en-US" w:eastAsia="zh-CN"/>
              </w:rPr>
              <w:t>）：项目团队配置齐全、岗位分工清晰，配备完整的能耗检测设备、数据分析工具，人员调度、设备使用、进度排布计划科学合理，可顺利完成本项目全部审计任务。</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（7-9分）</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lang w:val="en-US" w:eastAsia="zh-CN"/>
              </w:rPr>
              <w:t>规划专业化专项审计实施团队，人员配置充分响应本项目采购需求，岗位分工科学完备；投标方案能够详实阐述团队人员在公共机构能源审计、能耗统计、节能评估、碳排放核算领域的从业经验与项目实操能力；</w:t>
            </w:r>
            <w:r>
              <w:rPr>
                <w:rFonts w:hint="eastAsia" w:ascii="仿宋_GB2312" w:hAnsi="仿宋_GB2312" w:eastAsia="仿宋_GB2312" w:cs="仿宋_GB2312"/>
                <w:color w:val="auto"/>
                <w:sz w:val="24"/>
                <w:szCs w:val="24"/>
                <w:lang w:val="en-US" w:eastAsia="zh-CN"/>
              </w:rPr>
              <w:t>团队配备高精度专业能耗检测设备、合规审计分析系统、标准化台账核查工具；建立完善的全程岗前培训、设备校准、质量管控、应急补位、督导机制，人员一经采购人审核确认后不得随意更换，确因不可抗力需更换的，须取得采购人书面同意。人员设备配置对标高标准公共机构审计项目，专业性、稳定性、落地性、保障性极强。</w:t>
            </w:r>
          </w:p>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2.7项目重难点分析及专项攻坚保障措施</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6</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（0-2分）</w:t>
            </w:r>
            <w:r>
              <w:rPr>
                <w:rFonts w:hint="eastAsia" w:ascii="仿宋_GB2312" w:hAnsi="仿宋_GB2312" w:eastAsia="仿宋_GB2312" w:cs="仿宋_GB2312"/>
                <w:color w:val="auto"/>
                <w:sz w:val="24"/>
                <w:szCs w:val="24"/>
                <w:lang w:val="en-US" w:eastAsia="zh-CN"/>
              </w:rPr>
              <w:t>：能够简单梳理本项目审计重难点，对应的解决及保障措施基本合理，分析较为浅显、无针对性攻坚方案。</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（3-4分）</w:t>
            </w:r>
            <w:r>
              <w:rPr>
                <w:rFonts w:hint="eastAsia" w:ascii="仿宋_GB2312" w:hAnsi="仿宋_GB2312" w:eastAsia="仿宋_GB2312" w:cs="仿宋_GB2312"/>
                <w:color w:val="auto"/>
                <w:sz w:val="24"/>
                <w:szCs w:val="24"/>
                <w:lang w:val="en-US" w:eastAsia="zh-CN"/>
              </w:rPr>
              <w:t>：精准识别公共机构能耗台账零散、用能场景复杂、分项核算难度大、历史数据不规范等常规重难点，制定的保障方案科学可行，可应对常规审计难点问题。</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（5-6分）</w:t>
            </w:r>
            <w:r>
              <w:rPr>
                <w:rFonts w:hint="eastAsia" w:ascii="仿宋_GB2312" w:hAnsi="仿宋_GB2312" w:eastAsia="仿宋_GB2312" w:cs="仿宋_GB2312"/>
                <w:color w:val="auto"/>
                <w:sz w:val="24"/>
                <w:szCs w:val="24"/>
                <w:lang w:val="en-US" w:eastAsia="zh-CN"/>
              </w:rPr>
              <w:t>：深度剖析本项目多区域用能混杂、隐性能耗浪费点排查难、历史台账不规范、上级对标考核标准严苛、节能潜力量化难度大等核心痛点；针对性制定数据溯源核查、交叉核验、分项精准核算、对标合规诊断、问题闭环整改、成果复核校验的专项攻坚方案，可高效破解各类审计难点，全方位保障审计成果精准、合规、可用、可落地。</w:t>
            </w:r>
          </w:p>
        </w:tc>
        <w:tc>
          <w:tcPr>
            <w:tcW w:w="732" w:type="dxa"/>
            <w:vAlign w:val="center"/>
          </w:tcPr>
          <w:p>
            <w:pPr>
              <w:bidi w:val="0"/>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50</w:t>
            </w:r>
          </w:p>
        </w:tc>
        <w:tc>
          <w:tcPr>
            <w:tcW w:w="920" w:type="dxa"/>
            <w:vAlign w:val="center"/>
          </w:tcPr>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648" w:type="dxa"/>
            <w:vAlign w:val="center"/>
          </w:tcPr>
          <w:p>
            <w:pPr>
              <w:bidi w:val="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c>
          <w:tcPr>
            <w:tcW w:w="774" w:type="dxa"/>
            <w:shd w:val="clear" w:color="auto" w:fill="auto"/>
            <w:vAlign w:val="center"/>
          </w:tcPr>
          <w:p>
            <w:pPr>
              <w:bidi w:val="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商务评分</w:t>
            </w:r>
          </w:p>
        </w:tc>
        <w:tc>
          <w:tcPr>
            <w:tcW w:w="5978" w:type="dxa"/>
            <w:vAlign w:val="center"/>
          </w:tcPr>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3.1售后及成果落地长效服务方案</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10</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一档</w:t>
            </w:r>
            <w:r>
              <w:rPr>
                <w:rFonts w:hint="eastAsia" w:ascii="仿宋_GB2312" w:hAnsi="仿宋_GB2312" w:eastAsia="仿宋_GB2312" w:cs="仿宋_GB2312"/>
                <w:color w:val="auto"/>
                <w:sz w:val="24"/>
                <w:szCs w:val="24"/>
                <w:lang w:val="en-US" w:eastAsia="zh-CN"/>
              </w:rPr>
              <w:t>（0-3分）</w:t>
            </w:r>
            <w:r>
              <w:rPr>
                <w:rFonts w:hint="eastAsia" w:ascii="仿宋_GB2312" w:hAnsi="仿宋_GB2312" w:eastAsia="仿宋_GB2312" w:cs="仿宋_GB2312"/>
                <w:color w:val="auto"/>
                <w:sz w:val="24"/>
                <w:szCs w:val="24"/>
                <w:lang w:val="en-US" w:eastAsia="zh-CN"/>
              </w:rPr>
              <w:t>：服务方案内容基本齐全，具备基础售后保障条款，但针对性、专业性一般，通用模板痕迹明显，仅勉强满足项目基础交付需求。</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二档</w:t>
            </w:r>
            <w:r>
              <w:rPr>
                <w:rFonts w:hint="eastAsia" w:ascii="仿宋_GB2312" w:hAnsi="仿宋_GB2312" w:eastAsia="仿宋_GB2312" w:cs="仿宋_GB2312"/>
                <w:color w:val="auto"/>
                <w:sz w:val="24"/>
                <w:szCs w:val="24"/>
                <w:lang w:val="en-US" w:eastAsia="zh-CN"/>
              </w:rPr>
              <w:t>（4-7分）</w:t>
            </w:r>
            <w:r>
              <w:rPr>
                <w:rFonts w:hint="eastAsia" w:ascii="仿宋_GB2312" w:hAnsi="仿宋_GB2312" w:eastAsia="仿宋_GB2312" w:cs="仿宋_GB2312"/>
                <w:color w:val="auto"/>
                <w:sz w:val="24"/>
                <w:szCs w:val="24"/>
                <w:lang w:val="en-US" w:eastAsia="zh-CN"/>
              </w:rPr>
              <w:t>：服务体系完善，包含成果答疑、数据复核、问题整改指导等核心服务内容，可全面满足项目交付及基础售后需求。</w:t>
            </w:r>
          </w:p>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三档</w:t>
            </w:r>
            <w:r>
              <w:rPr>
                <w:rFonts w:hint="eastAsia" w:ascii="仿宋_GB2312" w:hAnsi="仿宋_GB2312" w:eastAsia="仿宋_GB2312" w:cs="仿宋_GB2312"/>
                <w:color w:val="auto"/>
                <w:sz w:val="24"/>
                <w:szCs w:val="24"/>
                <w:lang w:val="en-US" w:eastAsia="zh-CN"/>
              </w:rPr>
              <w:t>（8-10分）</w:t>
            </w:r>
            <w:r>
              <w:rPr>
                <w:rFonts w:hint="eastAsia" w:ascii="仿宋_GB2312" w:hAnsi="仿宋_GB2312" w:eastAsia="仿宋_GB2312" w:cs="仿宋_GB2312"/>
                <w:color w:val="auto"/>
                <w:sz w:val="24"/>
                <w:szCs w:val="24"/>
                <w:lang w:val="en-US" w:eastAsia="zh-CN"/>
              </w:rPr>
              <w:t>：建立全周期长效服务机制，涵盖审计成果答疑、能耗数据复核、节能整改方案优化、年度能耗对标咨询、上级节能考核协助、能耗上报指导、成果归档协助、节能政策解读、后期节能改造技术支撑等全方位服务，服务内容全面贴合公共机构长效节能管理需求，优于项目基础交付标准。</w:t>
            </w:r>
          </w:p>
          <w:p>
            <w:pPr>
              <w:bidi w:val="0"/>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3.2同类公共机构审计业绩</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bCs/>
                <w:color w:val="auto"/>
                <w:sz w:val="24"/>
                <w:szCs w:val="24"/>
                <w:lang w:val="en-US" w:eastAsia="zh-CN"/>
              </w:rPr>
              <w:t>20</w:t>
            </w:r>
            <w:r>
              <w:rPr>
                <w:rFonts w:hint="eastAsia" w:ascii="仿宋_GB2312" w:hAnsi="仿宋_GB2312" w:eastAsia="仿宋_GB2312" w:cs="仿宋_GB2312"/>
                <w:b/>
                <w:bCs/>
                <w:color w:val="auto"/>
                <w:sz w:val="24"/>
                <w:szCs w:val="24"/>
              </w:rPr>
              <w:t>分）</w:t>
            </w:r>
          </w:p>
          <w:p>
            <w:pPr>
              <w:bidi w:val="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评分规则：供应商提供2023年以来党政机关、事业单位、公共机构能源审计业绩。</w:t>
            </w:r>
          </w:p>
          <w:p>
            <w:pPr>
              <w:bidi w:val="0"/>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1.单体项目业绩：单份合同服务1家公共机构，每份有效合同计1分，本项最高10分；</w:t>
            </w:r>
          </w:p>
          <w:p>
            <w:pPr>
              <w:bidi w:val="0"/>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2.集群打包项目业绩：单份合同服务2-10家的，每份有效合同计2分；单份合同服务超过10家的，在计2分基础上，每多服务1家另加0.1分。</w:t>
            </w:r>
          </w:p>
          <w:p>
            <w:pPr>
              <w:numPr>
                <w:ilvl w:val="0"/>
                <w:numId w:val="0"/>
              </w:num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lang w:val="en-US" w:eastAsia="zh-CN"/>
              </w:rPr>
              <w:t>证明要求：</w:t>
            </w:r>
            <w:r>
              <w:rPr>
                <w:rFonts w:hint="eastAsia" w:ascii="仿宋_GB2312" w:hAnsi="仿宋_GB2312" w:eastAsia="仿宋_GB2312" w:cs="仿宋_GB2312"/>
                <w:color w:val="auto"/>
                <w:sz w:val="24"/>
                <w:szCs w:val="24"/>
                <w:lang w:val="en-US" w:eastAsia="zh-CN"/>
              </w:rPr>
              <w:t>须提供合同或中标（成交）通知书关键页复印件，加盖供应商公章；材料须体现项目名称、服务内容、服务对象、服务公共机构数量；工业、商业、工程改造类无关业绩类型不计分，资料不全、无法核验、信息不符、无法体现项目类型的不予计分。</w:t>
            </w:r>
          </w:p>
        </w:tc>
        <w:tc>
          <w:tcPr>
            <w:tcW w:w="732" w:type="dxa"/>
            <w:vAlign w:val="center"/>
          </w:tcPr>
          <w:p>
            <w:pPr>
              <w:bidi w:val="0"/>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30</w:t>
            </w:r>
          </w:p>
        </w:tc>
        <w:tc>
          <w:tcPr>
            <w:tcW w:w="920" w:type="dxa"/>
            <w:vAlign w:val="center"/>
          </w:tcPr>
          <w:p>
            <w:pPr>
              <w:bidi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技术响应表及相关证明材料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48" w:type="dxa"/>
            <w:vAlign w:val="center"/>
          </w:tcPr>
          <w:p>
            <w:pPr>
              <w:bidi w:val="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p>
        </w:tc>
        <w:tc>
          <w:tcPr>
            <w:tcW w:w="6752" w:type="dxa"/>
            <w:gridSpan w:val="2"/>
            <w:vAlign w:val="center"/>
          </w:tcPr>
          <w:p>
            <w:pPr>
              <w:bidi w:val="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总分计算公式：总得分=价格分+技术分+商务分</w:t>
            </w:r>
          </w:p>
        </w:tc>
        <w:tc>
          <w:tcPr>
            <w:tcW w:w="732" w:type="dxa"/>
            <w:vAlign w:val="center"/>
          </w:tcPr>
          <w:p>
            <w:pPr>
              <w:bidi w:val="0"/>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100</w:t>
            </w:r>
          </w:p>
        </w:tc>
        <w:tc>
          <w:tcPr>
            <w:tcW w:w="920" w:type="dxa"/>
            <w:vAlign w:val="center"/>
          </w:tcPr>
          <w:p>
            <w:pPr>
              <w:bidi w:val="0"/>
              <w:rPr>
                <w:rFonts w:hint="eastAsia" w:ascii="仿宋_GB2312" w:hAnsi="仿宋_GB2312" w:eastAsia="仿宋_GB2312" w:cs="仿宋_GB2312"/>
                <w:color w:val="auto"/>
                <w:sz w:val="24"/>
                <w:szCs w:val="24"/>
              </w:rPr>
            </w:pPr>
          </w:p>
        </w:tc>
      </w:tr>
    </w:tbl>
    <w:p>
      <w:pPr>
        <w:spacing w:line="390" w:lineRule="exact"/>
        <w:ind w:right="-168" w:rightChars="-80"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（一）对进入详评的，采用百分制综合评分法。</w:t>
      </w:r>
    </w:p>
    <w:p>
      <w:pPr>
        <w:spacing w:line="400" w:lineRule="atLeast"/>
        <w:ind w:firstLine="480" w:firstLineChars="200"/>
        <w:jc w:val="left"/>
        <w:rPr>
          <w:rFonts w:hint="eastAsia" w:ascii="仿宋" w:hAnsi="仿宋" w:eastAsia="仿宋" w:cs="仿宋"/>
          <w:color w:val="auto"/>
          <w:sz w:val="24"/>
          <w:highlight w:val="none"/>
        </w:rPr>
      </w:pPr>
      <w:r>
        <w:rPr>
          <w:rFonts w:hint="eastAsia" w:ascii="仿宋_GB2312" w:hAnsi="仿宋_GB2312" w:eastAsia="仿宋_GB2312" w:cs="仿宋_GB2312"/>
          <w:color w:val="auto"/>
          <w:sz w:val="24"/>
          <w:szCs w:val="24"/>
          <w:highlight w:val="none"/>
        </w:rPr>
        <w:t>（二）计分办法（分值计算保留小数点后两位，第三位四舍五入）：</w:t>
      </w:r>
    </w:p>
    <w:p>
      <w:pPr>
        <w:spacing w:line="390" w:lineRule="exact"/>
        <w:ind w:right="-168" w:rightChars="-80" w:firstLine="480" w:firstLineChars="200"/>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（三）总得分=</w:t>
      </w:r>
      <w:r>
        <w:rPr>
          <w:rFonts w:hint="eastAsia" w:ascii="仿宋_GB2312" w:hAnsi="仿宋_GB2312" w:eastAsia="仿宋_GB2312" w:cs="仿宋_GB2312"/>
          <w:b w:val="0"/>
          <w:bCs/>
          <w:color w:val="auto"/>
          <w:sz w:val="24"/>
          <w:highlight w:val="none"/>
          <w:lang w:val="en-US" w:eastAsia="zh-CN"/>
        </w:rPr>
        <w:t>价格分+技术评分</w:t>
      </w:r>
      <w:r>
        <w:rPr>
          <w:rFonts w:hint="eastAsia" w:ascii="仿宋_GB2312" w:hAnsi="仿宋_GB2312" w:eastAsia="仿宋_GB2312" w:cs="仿宋_GB2312"/>
          <w:b w:val="0"/>
          <w:bCs/>
          <w:color w:val="auto"/>
          <w:sz w:val="24"/>
          <w:highlight w:val="none"/>
        </w:rPr>
        <w:t>+</w:t>
      </w:r>
      <w:r>
        <w:rPr>
          <w:rFonts w:hint="eastAsia" w:ascii="仿宋_GB2312" w:hAnsi="仿宋_GB2312" w:eastAsia="仿宋_GB2312" w:cs="仿宋_GB2312"/>
          <w:b w:val="0"/>
          <w:bCs/>
          <w:color w:val="auto"/>
          <w:sz w:val="24"/>
          <w:highlight w:val="none"/>
          <w:lang w:val="en-US" w:eastAsia="zh-CN"/>
        </w:rPr>
        <w:t>商务评分</w:t>
      </w:r>
    </w:p>
    <w:p>
      <w:pPr>
        <w:keepNext w:val="0"/>
        <w:keepLines w:val="0"/>
        <w:pageBreakBefore w:val="0"/>
        <w:widowControl w:val="0"/>
        <w:tabs>
          <w:tab w:val="center" w:pos="4410"/>
          <w:tab w:val="left" w:pos="6735"/>
        </w:tabs>
        <w:kinsoku/>
        <w:wordWrap/>
        <w:overflowPunct/>
        <w:topLinePunct w:val="0"/>
        <w:autoSpaceDE/>
        <w:autoSpaceDN/>
        <w:bidi w:val="0"/>
        <w:adjustRightInd/>
        <w:snapToGrid/>
        <w:spacing w:line="560" w:lineRule="exact"/>
        <w:ind w:firstLine="560" w:firstLineChars="200"/>
        <w:jc w:val="left"/>
        <w:textAlignment w:val="auto"/>
        <w:outlineLvl w:val="1"/>
        <w:rPr>
          <w:rStyle w:val="22"/>
          <w:rFonts w:hint="eastAsia" w:ascii="黑体" w:hAnsi="黑体" w:eastAsia="黑体" w:cs="黑体"/>
          <w:b w:val="0"/>
          <w:bCs/>
          <w:color w:val="auto"/>
          <w:sz w:val="28"/>
          <w:szCs w:val="28"/>
        </w:rPr>
      </w:pPr>
      <w:bookmarkStart w:id="10" w:name="gxebd_pack_1_EvalFactorScoreEnd"/>
      <w:bookmarkEnd w:id="10"/>
      <w:bookmarkStart w:id="11" w:name="_Toc3796"/>
      <w:r>
        <w:rPr>
          <w:rStyle w:val="22"/>
          <w:rFonts w:hint="eastAsia" w:ascii="黑体" w:hAnsi="黑体" w:eastAsia="黑体" w:cs="黑体"/>
          <w:b w:val="0"/>
          <w:bCs/>
          <w:color w:val="auto"/>
          <w:sz w:val="28"/>
          <w:szCs w:val="28"/>
        </w:rPr>
        <w:t>三、成交候选供应商推荐原则</w:t>
      </w:r>
      <w:bookmarkEnd w:id="11"/>
    </w:p>
    <w:p>
      <w:pPr>
        <w:adjustRightInd w:val="0"/>
        <w:spacing w:line="400" w:lineRule="exact"/>
        <w:ind w:firstLine="480" w:firstLineChars="200"/>
        <w:jc w:val="left"/>
        <w:textAlignment w:val="baseline"/>
        <w:rPr>
          <w:rFonts w:hint="eastAsia" w:ascii="仿宋_GB2312" w:hAnsi="仿宋_GB2312" w:eastAsia="仿宋_GB2312" w:cs="仿宋_GB2312"/>
          <w:b w:val="0"/>
          <w:bCs/>
          <w:color w:val="auto"/>
          <w:kern w:val="0"/>
          <w:sz w:val="24"/>
          <w:highlight w:val="none"/>
        </w:rPr>
      </w:pPr>
      <w:r>
        <w:rPr>
          <w:rFonts w:hint="eastAsia" w:ascii="仿宋_GB2312" w:hAnsi="仿宋_GB2312" w:eastAsia="仿宋_GB2312" w:cs="仿宋_GB2312"/>
          <w:b w:val="0"/>
          <w:bCs/>
          <w:color w:val="auto"/>
          <w:kern w:val="0"/>
          <w:sz w:val="24"/>
          <w:highlight w:val="none"/>
        </w:rPr>
        <w:t>评</w:t>
      </w:r>
      <w:r>
        <w:rPr>
          <w:rFonts w:hint="eastAsia" w:ascii="仿宋_GB2312" w:hAnsi="仿宋_GB2312" w:eastAsia="仿宋_GB2312" w:cs="仿宋_GB2312"/>
          <w:b w:val="0"/>
          <w:bCs/>
          <w:color w:val="auto"/>
          <w:kern w:val="0"/>
          <w:sz w:val="24"/>
          <w:highlight w:val="none"/>
          <w:lang w:eastAsia="zh-CN"/>
        </w:rPr>
        <w:t>审</w:t>
      </w:r>
      <w:r>
        <w:rPr>
          <w:rFonts w:hint="eastAsia" w:ascii="仿宋_GB2312" w:hAnsi="仿宋_GB2312" w:eastAsia="仿宋_GB2312" w:cs="仿宋_GB2312"/>
          <w:b w:val="0"/>
          <w:bCs/>
          <w:color w:val="auto"/>
          <w:kern w:val="0"/>
          <w:sz w:val="24"/>
          <w:highlight w:val="none"/>
        </w:rPr>
        <w:t>委员会将根据综合得分由高到低排列次序（得分相同时，以报价由低到高顺序排列；得分相同且报价相同的，按技术指标优劣顺序排列）并推荐综合得分前三名为</w:t>
      </w:r>
      <w:r>
        <w:rPr>
          <w:rFonts w:hint="eastAsia" w:ascii="仿宋_GB2312" w:hAnsi="仿宋_GB2312" w:eastAsia="仿宋_GB2312" w:cs="仿宋_GB2312"/>
          <w:b w:val="0"/>
          <w:bCs/>
          <w:color w:val="auto"/>
          <w:sz w:val="24"/>
          <w:highlight w:val="none"/>
        </w:rPr>
        <w:t>成交候选供应商</w:t>
      </w:r>
      <w:r>
        <w:rPr>
          <w:rFonts w:hint="eastAsia" w:ascii="仿宋_GB2312" w:hAnsi="仿宋_GB2312" w:eastAsia="仿宋_GB2312" w:cs="仿宋_GB2312"/>
          <w:b w:val="0"/>
          <w:bCs/>
          <w:color w:val="auto"/>
          <w:kern w:val="0"/>
          <w:sz w:val="24"/>
          <w:highlight w:val="none"/>
        </w:rPr>
        <w:t>。采购人应当确定评审委员会推荐排名第一的</w:t>
      </w:r>
      <w:r>
        <w:rPr>
          <w:rFonts w:hint="eastAsia" w:ascii="仿宋_GB2312" w:hAnsi="仿宋_GB2312" w:eastAsia="仿宋_GB2312" w:cs="仿宋_GB2312"/>
          <w:b w:val="0"/>
          <w:bCs/>
          <w:color w:val="auto"/>
          <w:sz w:val="24"/>
          <w:highlight w:val="none"/>
        </w:rPr>
        <w:t>成交候选供应商</w:t>
      </w:r>
      <w:r>
        <w:rPr>
          <w:rFonts w:hint="eastAsia" w:ascii="仿宋_GB2312" w:hAnsi="仿宋_GB2312" w:eastAsia="仿宋_GB2312" w:cs="仿宋_GB2312"/>
          <w:b w:val="0"/>
          <w:bCs/>
          <w:color w:val="auto"/>
          <w:kern w:val="0"/>
          <w:sz w:val="24"/>
          <w:highlight w:val="none"/>
        </w:rPr>
        <w:t>为</w:t>
      </w:r>
      <w:r>
        <w:rPr>
          <w:rFonts w:hint="eastAsia" w:ascii="仿宋_GB2312" w:hAnsi="仿宋_GB2312" w:eastAsia="仿宋_GB2312" w:cs="仿宋_GB2312"/>
          <w:b w:val="0"/>
          <w:bCs/>
          <w:color w:val="auto"/>
          <w:sz w:val="24"/>
          <w:highlight w:val="none"/>
        </w:rPr>
        <w:t>成交供应商</w:t>
      </w:r>
      <w:r>
        <w:rPr>
          <w:rFonts w:hint="eastAsia" w:ascii="仿宋_GB2312" w:hAnsi="仿宋_GB2312" w:eastAsia="仿宋_GB2312" w:cs="仿宋_GB2312"/>
          <w:b w:val="0"/>
          <w:bCs/>
          <w:color w:val="auto"/>
          <w:kern w:val="0"/>
          <w:sz w:val="24"/>
          <w:highlight w:val="none"/>
        </w:rPr>
        <w:t>。</w:t>
      </w:r>
      <w:bookmarkStart w:id="12" w:name="_Hlk93676949"/>
      <w:r>
        <w:rPr>
          <w:rFonts w:hint="eastAsia" w:ascii="仿宋_GB2312" w:hAnsi="仿宋_GB2312" w:eastAsia="仿宋_GB2312" w:cs="仿宋_GB2312"/>
          <w:b w:val="0"/>
          <w:bCs/>
          <w:color w:val="auto"/>
          <w:kern w:val="0"/>
          <w:sz w:val="24"/>
          <w:highlight w:val="none"/>
        </w:rPr>
        <w:t>排名第一的</w:t>
      </w:r>
      <w:r>
        <w:rPr>
          <w:rFonts w:hint="eastAsia" w:ascii="仿宋_GB2312" w:hAnsi="仿宋_GB2312" w:eastAsia="仿宋_GB2312" w:cs="仿宋_GB2312"/>
          <w:b w:val="0"/>
          <w:bCs/>
          <w:color w:val="auto"/>
          <w:sz w:val="24"/>
          <w:highlight w:val="none"/>
        </w:rPr>
        <w:t>成交候选供应商</w:t>
      </w:r>
      <w:r>
        <w:rPr>
          <w:rFonts w:hint="eastAsia" w:ascii="仿宋_GB2312" w:hAnsi="仿宋_GB2312" w:eastAsia="仿宋_GB2312" w:cs="仿宋_GB2312"/>
          <w:b w:val="0"/>
          <w:bCs/>
          <w:color w:val="auto"/>
          <w:kern w:val="0"/>
          <w:sz w:val="24"/>
          <w:highlight w:val="none"/>
        </w:rPr>
        <w:t>放弃</w:t>
      </w:r>
      <w:r>
        <w:rPr>
          <w:rFonts w:hint="eastAsia" w:ascii="仿宋_GB2312" w:hAnsi="仿宋_GB2312" w:eastAsia="仿宋_GB2312" w:cs="仿宋_GB2312"/>
          <w:b w:val="0"/>
          <w:bCs/>
          <w:color w:val="auto"/>
          <w:kern w:val="0"/>
          <w:sz w:val="24"/>
          <w:highlight w:val="none"/>
          <w:lang w:eastAsia="zh-CN"/>
        </w:rPr>
        <w:t>成交</w:t>
      </w:r>
      <w:r>
        <w:rPr>
          <w:rFonts w:hint="eastAsia" w:ascii="仿宋_GB2312" w:hAnsi="仿宋_GB2312" w:eastAsia="仿宋_GB2312" w:cs="仿宋_GB2312"/>
          <w:b w:val="0"/>
          <w:bCs/>
          <w:color w:val="auto"/>
          <w:kern w:val="0"/>
          <w:sz w:val="24"/>
          <w:highlight w:val="none"/>
        </w:rPr>
        <w:t>、因不可抗力提出不能履行合同，</w:t>
      </w:r>
      <w:bookmarkEnd w:id="12"/>
      <w:r>
        <w:rPr>
          <w:rFonts w:hint="eastAsia" w:ascii="仿宋_GB2312" w:hAnsi="仿宋_GB2312" w:eastAsia="仿宋_GB2312" w:cs="仿宋_GB2312"/>
          <w:b w:val="0"/>
          <w:bCs/>
          <w:color w:val="auto"/>
          <w:kern w:val="0"/>
          <w:sz w:val="24"/>
          <w:highlight w:val="none"/>
        </w:rPr>
        <w:t>采购人应将该情况报政府采购监督管理部门，从合格的</w:t>
      </w:r>
      <w:r>
        <w:rPr>
          <w:rFonts w:hint="eastAsia" w:ascii="仿宋_GB2312" w:hAnsi="仿宋_GB2312" w:eastAsia="仿宋_GB2312" w:cs="仿宋_GB2312"/>
          <w:b w:val="0"/>
          <w:bCs/>
          <w:color w:val="auto"/>
          <w:sz w:val="24"/>
          <w:highlight w:val="none"/>
        </w:rPr>
        <w:t>成交候选供应商</w:t>
      </w:r>
      <w:r>
        <w:rPr>
          <w:rFonts w:hint="eastAsia" w:ascii="仿宋_GB2312" w:hAnsi="仿宋_GB2312" w:eastAsia="仿宋_GB2312" w:cs="仿宋_GB2312"/>
          <w:b w:val="0"/>
          <w:bCs/>
          <w:color w:val="auto"/>
          <w:kern w:val="0"/>
          <w:sz w:val="24"/>
          <w:highlight w:val="none"/>
        </w:rPr>
        <w:t>中另行确定</w:t>
      </w:r>
      <w:r>
        <w:rPr>
          <w:rFonts w:hint="eastAsia" w:ascii="仿宋_GB2312" w:hAnsi="仿宋_GB2312" w:eastAsia="仿宋_GB2312" w:cs="仿宋_GB2312"/>
          <w:b w:val="0"/>
          <w:bCs/>
          <w:color w:val="auto"/>
          <w:sz w:val="24"/>
          <w:highlight w:val="none"/>
        </w:rPr>
        <w:t>成交供应商</w:t>
      </w:r>
      <w:r>
        <w:rPr>
          <w:rFonts w:hint="eastAsia" w:ascii="仿宋_GB2312" w:hAnsi="仿宋_GB2312" w:eastAsia="仿宋_GB2312" w:cs="仿宋_GB2312"/>
          <w:b w:val="0"/>
          <w:bCs/>
          <w:color w:val="auto"/>
          <w:kern w:val="0"/>
          <w:sz w:val="24"/>
          <w:highlight w:val="none"/>
        </w:rPr>
        <w:t>或重新开展政府采购活动。</w:t>
      </w:r>
    </w:p>
    <w:p>
      <w:pPr>
        <w:adjustRightInd w:val="0"/>
        <w:spacing w:line="400" w:lineRule="exact"/>
        <w:ind w:firstLine="480" w:firstLineChars="200"/>
        <w:jc w:val="left"/>
        <w:textAlignment w:val="baseline"/>
        <w:rPr>
          <w:rFonts w:hint="eastAsia" w:ascii="仿宋_GB2312" w:hAnsi="仿宋_GB2312" w:eastAsia="仿宋_GB2312" w:cs="仿宋_GB2312"/>
          <w:b w:val="0"/>
          <w:bCs/>
          <w:color w:val="auto"/>
          <w:sz w:val="24"/>
          <w:highlight w:val="none"/>
          <w:lang w:val="en-US" w:eastAsia="zh-CN"/>
        </w:rPr>
      </w:pPr>
      <w:r>
        <w:rPr>
          <w:rFonts w:hint="eastAsia" w:ascii="仿宋_GB2312" w:hAnsi="仿宋_GB2312" w:eastAsia="仿宋_GB2312" w:cs="仿宋_GB2312"/>
          <w:b w:val="0"/>
          <w:bCs/>
          <w:color w:val="auto"/>
          <w:kern w:val="0"/>
          <w:sz w:val="24"/>
          <w:highlight w:val="none"/>
        </w:rPr>
        <w:t>在</w:t>
      </w:r>
      <w:r>
        <w:rPr>
          <w:rFonts w:hint="eastAsia" w:ascii="仿宋_GB2312" w:hAnsi="仿宋_GB2312" w:eastAsia="仿宋_GB2312" w:cs="仿宋_GB2312"/>
          <w:b w:val="0"/>
          <w:bCs/>
          <w:color w:val="auto"/>
          <w:sz w:val="24"/>
          <w:highlight w:val="none"/>
        </w:rPr>
        <w:t>成交通知书</w:t>
      </w:r>
      <w:r>
        <w:rPr>
          <w:rFonts w:hint="eastAsia" w:ascii="仿宋_GB2312" w:hAnsi="仿宋_GB2312" w:eastAsia="仿宋_GB2312" w:cs="仿宋_GB2312"/>
          <w:b w:val="0"/>
          <w:bCs/>
          <w:color w:val="auto"/>
          <w:kern w:val="0"/>
          <w:sz w:val="24"/>
          <w:highlight w:val="none"/>
        </w:rPr>
        <w:t>发出前，采购人应当对</w:t>
      </w:r>
      <w:r>
        <w:rPr>
          <w:rFonts w:hint="eastAsia" w:ascii="仿宋_GB2312" w:hAnsi="仿宋_GB2312" w:eastAsia="仿宋_GB2312" w:cs="仿宋_GB2312"/>
          <w:b w:val="0"/>
          <w:bCs/>
          <w:color w:val="auto"/>
          <w:sz w:val="24"/>
          <w:highlight w:val="none"/>
        </w:rPr>
        <w:t>成交供应商</w:t>
      </w:r>
      <w:r>
        <w:rPr>
          <w:rFonts w:hint="eastAsia" w:ascii="仿宋_GB2312" w:hAnsi="仿宋_GB2312" w:eastAsia="仿宋_GB2312" w:cs="仿宋_GB2312"/>
          <w:b w:val="0"/>
          <w:bCs/>
          <w:color w:val="auto"/>
          <w:kern w:val="0"/>
          <w:sz w:val="24"/>
          <w:highlight w:val="none"/>
        </w:rPr>
        <w:t>信用进行查询，并按照信用信息使用规则处理。当</w:t>
      </w:r>
      <w:r>
        <w:rPr>
          <w:rFonts w:hint="eastAsia" w:ascii="仿宋_GB2312" w:hAnsi="仿宋_GB2312" w:eastAsia="仿宋_GB2312" w:cs="仿宋_GB2312"/>
          <w:b w:val="0"/>
          <w:bCs/>
          <w:color w:val="auto"/>
          <w:sz w:val="24"/>
          <w:highlight w:val="none"/>
        </w:rPr>
        <w:t>成交供应商</w:t>
      </w:r>
      <w:r>
        <w:rPr>
          <w:rFonts w:hint="eastAsia" w:ascii="仿宋_GB2312" w:hAnsi="仿宋_GB2312" w:eastAsia="仿宋_GB2312" w:cs="仿宋_GB2312"/>
          <w:b w:val="0"/>
          <w:bCs/>
          <w:color w:val="auto"/>
          <w:kern w:val="0"/>
          <w:sz w:val="24"/>
          <w:highlight w:val="none"/>
        </w:rPr>
        <w:t>属于信用信息使用规则中应被拒绝参与政府采购活动的情形时，采购人应将该情况报政府采购监督管理部门，从合格的</w:t>
      </w:r>
      <w:r>
        <w:rPr>
          <w:rFonts w:hint="eastAsia" w:ascii="仿宋_GB2312" w:hAnsi="仿宋_GB2312" w:eastAsia="仿宋_GB2312" w:cs="仿宋_GB2312"/>
          <w:b w:val="0"/>
          <w:bCs/>
          <w:color w:val="auto"/>
          <w:sz w:val="24"/>
          <w:highlight w:val="none"/>
        </w:rPr>
        <w:t>成交候选供应商</w:t>
      </w:r>
      <w:r>
        <w:rPr>
          <w:rFonts w:hint="eastAsia" w:ascii="仿宋_GB2312" w:hAnsi="仿宋_GB2312" w:eastAsia="仿宋_GB2312" w:cs="仿宋_GB2312"/>
          <w:b w:val="0"/>
          <w:bCs/>
          <w:color w:val="auto"/>
          <w:kern w:val="0"/>
          <w:sz w:val="24"/>
          <w:highlight w:val="none"/>
        </w:rPr>
        <w:t>中另行确定</w:t>
      </w:r>
      <w:r>
        <w:rPr>
          <w:rFonts w:hint="eastAsia" w:ascii="仿宋_GB2312" w:hAnsi="仿宋_GB2312" w:eastAsia="仿宋_GB2312" w:cs="仿宋_GB2312"/>
          <w:b w:val="0"/>
          <w:bCs/>
          <w:color w:val="auto"/>
          <w:sz w:val="24"/>
          <w:highlight w:val="none"/>
        </w:rPr>
        <w:t>成交供应商</w:t>
      </w:r>
      <w:r>
        <w:rPr>
          <w:rFonts w:hint="eastAsia" w:ascii="仿宋_GB2312" w:hAnsi="仿宋_GB2312" w:eastAsia="仿宋_GB2312" w:cs="仿宋_GB2312"/>
          <w:b w:val="0"/>
          <w:bCs/>
          <w:color w:val="auto"/>
          <w:kern w:val="0"/>
          <w:sz w:val="24"/>
          <w:highlight w:val="none"/>
        </w:rPr>
        <w:t>或重新开展政府采购活动</w:t>
      </w:r>
      <w:r>
        <w:rPr>
          <w:rFonts w:hint="eastAsia" w:ascii="仿宋_GB2312" w:hAnsi="仿宋_GB2312" w:eastAsia="仿宋_GB2312" w:cs="仿宋_GB2312"/>
          <w:b w:val="0"/>
          <w:bCs/>
          <w:color w:val="auto"/>
          <w:sz w:val="24"/>
          <w:highlight w:val="none"/>
        </w:rPr>
        <w:t>。</w:t>
      </w:r>
    </w:p>
    <w:bookmarkEnd w:id="13"/>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32F53"/>
    <w:rsid w:val="01B73140"/>
    <w:rsid w:val="03570828"/>
    <w:rsid w:val="058776B9"/>
    <w:rsid w:val="05BC327B"/>
    <w:rsid w:val="05F6455C"/>
    <w:rsid w:val="073B2933"/>
    <w:rsid w:val="09A01596"/>
    <w:rsid w:val="0B0F2CB4"/>
    <w:rsid w:val="0B2E66F4"/>
    <w:rsid w:val="0C593131"/>
    <w:rsid w:val="0E121CDD"/>
    <w:rsid w:val="10F2235A"/>
    <w:rsid w:val="151541E1"/>
    <w:rsid w:val="151F0859"/>
    <w:rsid w:val="19836DA0"/>
    <w:rsid w:val="1A956F4F"/>
    <w:rsid w:val="1AE94FB9"/>
    <w:rsid w:val="1EDF6119"/>
    <w:rsid w:val="26171316"/>
    <w:rsid w:val="26496073"/>
    <w:rsid w:val="2AFE6716"/>
    <w:rsid w:val="2C165339"/>
    <w:rsid w:val="2DC75994"/>
    <w:rsid w:val="302B7FA4"/>
    <w:rsid w:val="333D264E"/>
    <w:rsid w:val="33EB6AD5"/>
    <w:rsid w:val="34337579"/>
    <w:rsid w:val="349D1E77"/>
    <w:rsid w:val="36212323"/>
    <w:rsid w:val="377515DD"/>
    <w:rsid w:val="378F5271"/>
    <w:rsid w:val="396855D2"/>
    <w:rsid w:val="3BDC210A"/>
    <w:rsid w:val="3C9E66DC"/>
    <w:rsid w:val="3CD21CC5"/>
    <w:rsid w:val="3DB6269F"/>
    <w:rsid w:val="3EC868FF"/>
    <w:rsid w:val="47B74DA0"/>
    <w:rsid w:val="4A2F4F42"/>
    <w:rsid w:val="4B8F7023"/>
    <w:rsid w:val="4D241F58"/>
    <w:rsid w:val="58470AE3"/>
    <w:rsid w:val="59B166C6"/>
    <w:rsid w:val="5CDB0DDF"/>
    <w:rsid w:val="5DC10691"/>
    <w:rsid w:val="5FAA0106"/>
    <w:rsid w:val="66C957EC"/>
    <w:rsid w:val="679F204F"/>
    <w:rsid w:val="67A92D44"/>
    <w:rsid w:val="6ADC6BAA"/>
    <w:rsid w:val="6C5F1CB3"/>
    <w:rsid w:val="70297C7F"/>
    <w:rsid w:val="725962AE"/>
    <w:rsid w:val="75DC2E9C"/>
    <w:rsid w:val="7605562E"/>
    <w:rsid w:val="789B04FD"/>
    <w:rsid w:val="7DAB5117"/>
    <w:rsid w:val="7FB00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2"/>
    <w:qFormat/>
    <w:uiPriority w:val="0"/>
    <w:pPr>
      <w:keepNext/>
      <w:keepLines/>
      <w:spacing w:before="340" w:after="330" w:line="576" w:lineRule="auto"/>
      <w:outlineLvl w:val="0"/>
    </w:pPr>
    <w:rPr>
      <w:b/>
      <w:kern w:val="44"/>
      <w:sz w:val="44"/>
      <w:szCs w:val="20"/>
    </w:rPr>
  </w:style>
  <w:style w:type="paragraph" w:styleId="3">
    <w:name w:val="heading 2"/>
    <w:basedOn w:val="1"/>
    <w:next w:val="1"/>
    <w:semiHidden/>
    <w:unhideWhenUsed/>
    <w:qFormat/>
    <w:uiPriority w:val="0"/>
    <w:pPr>
      <w:keepNext/>
      <w:keepLines/>
      <w:spacing w:beforeLines="0" w:beforeAutospacing="0" w:afterLines="0" w:afterAutospacing="0" w:line="240" w:lineRule="auto"/>
      <w:ind w:firstLine="880" w:firstLineChars="200"/>
      <w:outlineLvl w:val="1"/>
    </w:pPr>
    <w:rPr>
      <w:rFonts w:ascii="Times New Roman" w:hAnsi="Times New Roman" w:eastAsia="楷体_GB2312"/>
    </w:rPr>
  </w:style>
  <w:style w:type="paragraph" w:styleId="4">
    <w:name w:val="heading 3"/>
    <w:basedOn w:val="1"/>
    <w:next w:val="1"/>
    <w:semiHidden/>
    <w:unhideWhenUsed/>
    <w:qFormat/>
    <w:uiPriority w:val="0"/>
    <w:pPr>
      <w:keepNext/>
      <w:keepLines/>
      <w:spacing w:beforeLines="0" w:beforeAutospacing="0" w:afterLines="0" w:afterAutospacing="0" w:line="240" w:lineRule="auto"/>
      <w:ind w:firstLine="880" w:firstLineChars="200"/>
      <w:outlineLvl w:val="2"/>
    </w:pPr>
    <w:rPr>
      <w:b/>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pPr>
      <w:spacing w:line="420" w:lineRule="exact"/>
    </w:pPr>
    <w:rPr>
      <w:sz w:val="24"/>
    </w:rPr>
  </w:style>
  <w:style w:type="paragraph" w:styleId="8">
    <w:name w:val="toc 3"/>
    <w:basedOn w:val="1"/>
    <w:next w:val="1"/>
    <w:qFormat/>
    <w:uiPriority w:val="0"/>
    <w:pPr>
      <w:ind w:left="840" w:leftChars="400"/>
    </w:pPr>
  </w:style>
  <w:style w:type="paragraph" w:styleId="9">
    <w:name w:val="Plain Text"/>
    <w:basedOn w:val="1"/>
    <w:next w:val="5"/>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4"/>
    <w:basedOn w:val="1"/>
    <w:next w:val="1"/>
    <w:qFormat/>
    <w:uiPriority w:val="0"/>
    <w:pPr>
      <w:ind w:left="1260" w:leftChars="600"/>
    </w:pPr>
  </w:style>
  <w:style w:type="paragraph" w:styleId="14">
    <w:name w:val="Body Text Indent 3"/>
    <w:basedOn w:val="1"/>
    <w:qFormat/>
    <w:uiPriority w:val="0"/>
    <w:pPr>
      <w:spacing w:after="120"/>
      <w:ind w:left="420" w:leftChars="200"/>
    </w:pPr>
    <w:rPr>
      <w:sz w:val="16"/>
      <w:szCs w:val="16"/>
    </w:rPr>
  </w:style>
  <w:style w:type="paragraph" w:styleId="15">
    <w:name w:val="toc 2"/>
    <w:basedOn w:val="1"/>
    <w:next w:val="1"/>
    <w:qFormat/>
    <w:uiPriority w:val="0"/>
    <w:pPr>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paragraph" w:customStyle="1" w:styleId="21">
    <w:name w:val="Default"/>
    <w:basedOn w:val="1"/>
    <w:next w:val="1"/>
    <w:qFormat/>
    <w:uiPriority w:val="0"/>
    <w:pPr>
      <w:autoSpaceDE w:val="0"/>
      <w:autoSpaceDN w:val="0"/>
      <w:adjustRightInd w:val="0"/>
      <w:jc w:val="left"/>
    </w:pPr>
    <w:rPr>
      <w:rFonts w:ascii="方正小标宋_GBK" w:hAnsi="Times New Roman" w:eastAsia="方正小标宋_GBK"/>
      <w:color w:val="000000"/>
      <w:kern w:val="0"/>
      <w:sz w:val="24"/>
      <w:szCs w:val="24"/>
    </w:rPr>
  </w:style>
  <w:style w:type="character" w:customStyle="1" w:styleId="22">
    <w:name w:val="标题 1 Char"/>
    <w:link w:val="2"/>
    <w:qFormat/>
    <w:uiPriority w:val="0"/>
    <w:rPr>
      <w:b/>
      <w:kern w:val="44"/>
      <w:sz w:val="44"/>
      <w:szCs w:val="20"/>
    </w:rPr>
  </w:style>
  <w:style w:type="table" w:customStyle="1" w:styleId="23">
    <w:name w:val="Normal Table_file_618"/>
    <w:semiHidden/>
    <w:qFormat/>
    <w:uiPriority w:val="0"/>
    <w:tblPr>
      <w:tblCellMar>
        <w:top w:w="0" w:type="dxa"/>
        <w:left w:w="108" w:type="dxa"/>
        <w:bottom w:w="0" w:type="dxa"/>
        <w:right w:w="108" w:type="dxa"/>
      </w:tblCellMar>
    </w:tblPr>
  </w:style>
  <w:style w:type="paragraph" w:customStyle="1" w:styleId="24">
    <w:name w:val="Plain Text_file_618"/>
    <w:basedOn w:val="25"/>
    <w:next w:val="2"/>
    <w:qFormat/>
    <w:uiPriority w:val="0"/>
    <w:rPr>
      <w:rFonts w:ascii="宋体" w:hAnsi="Courier New" w:cs="Courier New"/>
      <w:szCs w:val="21"/>
    </w:rPr>
  </w:style>
  <w:style w:type="paragraph" w:customStyle="1" w:styleId="25">
    <w:name w:val="Normal_file_618"/>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Plain Text_file_290"/>
    <w:basedOn w:val="27"/>
    <w:next w:val="2"/>
    <w:qFormat/>
    <w:uiPriority w:val="0"/>
    <w:rPr>
      <w:rFonts w:ascii="宋体" w:hAnsi="Courier New" w:cs="Courier New"/>
      <w:szCs w:val="21"/>
    </w:rPr>
  </w:style>
  <w:style w:type="paragraph" w:customStyle="1" w:styleId="27">
    <w:name w:val="Normal_file_290"/>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Plain Text_file_372_file_669_file_674_file_222"/>
    <w:basedOn w:val="29"/>
    <w:qFormat/>
    <w:uiPriority w:val="0"/>
    <w:rPr>
      <w:rFonts w:ascii="宋体" w:hAnsi="Courier New" w:cs="Courier New"/>
      <w:szCs w:val="21"/>
    </w:rPr>
  </w:style>
  <w:style w:type="paragraph" w:customStyle="1" w:styleId="29">
    <w:name w:val="Normal_file_372_file_669_file_674_file_222"/>
    <w:next w:val="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12091</Words>
  <Characters>12545</Characters>
  <Lines>0</Lines>
  <Paragraphs>0</Paragraphs>
  <TotalTime>5</TotalTime>
  <ScaleCrop>false</ScaleCrop>
  <LinksUpToDate>false</LinksUpToDate>
  <CharactersWithSpaces>12561</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Administrator</cp:lastModifiedBy>
  <dcterms:modified xsi:type="dcterms:W3CDTF">2026-08-27T08:22:00Z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578FC24771FA4D36B4769681BF31ED80_13</vt:lpwstr>
  </property>
  <property fmtid="{D5CDD505-2E9C-101B-9397-08002B2CF9AE}" pid="4" name="KSOTemplateDocerSaveRecord">
    <vt:lpwstr>eyJoZGlkIjoiNTU3YzVjYzY0NjFhYjE0ODczNjNkOWZhYTlkZjJmYjIiLCJ1c2VySWQiOiIxMjU2NzU0MDY4In0=</vt:lpwstr>
  </property>
</Properties>
</file>